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Virnich Daniel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THE ONCOLOGY INSTITUTE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18000 STUDEBAKER RD, SUITE 800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CERRITOS</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90703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Oncology Institute,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TOI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226"/>
        </w:trPr>
        <w:tc>
          <w:tcPr>
            <w:tcW w:w="2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03/27/2026</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03/27/2026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670,608</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2,458,758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03/27/2026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J</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98,534</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3.07</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2,360,224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 awards with 1/4 of the RSUs vesting on the first anniversary of the Vesting Commencement Date, with the remaining RSUs vesting in three equal annual installments beginning on the first anniversary of the Vesting Commencement Date, with all RSUs becoming vested on the fourth anniversary of the Vesting Commencement Date, subject to continued service with the Company through such vesting dates.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executed the sale to cover the tax liabilities arising from the vesting of an RSU award on March 31, 2026.</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Hueppelsheuser,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22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Daniel</w:t>
      </w:r>
      <w:r>
        <w:rPr>
          <w:sz w:val="20"/>
          <w:szCs w:val="20"/>
          <w:color w:val="auto"/>
        </w:rPr>
        <w:tab/>
      </w: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Virnich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95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956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107" TargetMode="External"/><Relationship Id="rId14" Type="http://schemas.openxmlformats.org/officeDocument/2006/relationships/hyperlink" Target="http://www.sec.gov/cgi-bin/browse-edgar?action=getcompany&amp;CIK=00017991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2026-04-01T19:48:46Z</dcterms:created>
  <dcterms:modified xsi:type="dcterms:W3CDTF">2026-04-01T19:48:46Z</dcterms:modified>
</cp:coreProperties>
</file>