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ind w:left="224" w:right="0" w:hanging="0"/>
        <w:jc w:val="left"/>
        <w:rPr>
          <w:caps w:val="false"/>
          <w:smallCaps w:val="false"/>
        </w:rPr>
      </w:pPr>
      <w:bookmarkStart w:id="0" w:name="toi_8k.htm"/>
      <w:bookmarkStart w:id="1" w:name="kstoi_8k"/>
      <w:bookmarkEnd w:id="0"/>
      <w:bookmarkEnd w:id="1"/>
      <w:r>
        <w:rPr>
          <w:caps w:val="false"/>
          <w:smallCaps w:val="false"/>
        </w:rPr>
        <w:t> </w:t>
      </w:r>
    </w:p>
    <w:p>
      <w:pPr>
        <w:pStyle w:val="TextBody"/>
        <w:bidi w:val="0"/>
        <w:spacing w:before="60" w:after="240"/>
        <w:jc w:val="left"/>
        <w:rPr>
          <w:bdr w:val="single" w:sz="16" w:space="1" w:color="000000"/>
        </w:rPr>
      </w:pPr>
      <w:r>
        <w:rPr>
          <w:bdr w:val="single" w:sz="16" w:space="1" w:color="000000"/>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E_edei--DocumentType_c20260617__20"/>
      <w:bookmarkEnd w:id="2"/>
      <w:r>
        <w:rPr>
          <w:rFonts w:ascii="Times New Roman;Times;Serif" w:hAnsi="Times New Roman;Times;Serif"/>
          <w:b/>
          <w:i w:val="false"/>
          <w:caps w:val="false"/>
          <w:smallCaps w:val="false"/>
          <w:sz w:val="28"/>
        </w:rPr>
        <w:t>8-K</w:t>
      </w:r>
    </w:p>
    <w:p>
      <w:pPr>
        <w:pStyle w:val="TextBody"/>
        <w:bidi w:val="0"/>
        <w:jc w:val="center"/>
        <w:rPr>
          <w:rFonts w:ascii="Times New Roman;Times;Serif" w:hAnsi="Times New Roman;Times;Serif"/>
          <w:b/>
          <w:i w:val="false"/>
          <w:caps w:val="false"/>
          <w:smallCaps w:val="false"/>
          <w:sz w:val="12"/>
        </w:rPr>
      </w:pPr>
      <w:r>
        <w:rPr>
          <w:rFonts w:ascii="Times New Roman;Times;Serif" w:hAnsi="Times New Roman;Times;Serif"/>
          <w:b/>
          <w:i w:val="false"/>
          <w:caps w:val="false"/>
          <w:smallCaps w:val="false"/>
          <w:sz w:val="12"/>
        </w:rPr>
        <w:t>__________________________________________________________</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June 17, 2026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bookmarkStart w:id="4" w:name="xdx_905_edei--EntityRegistrantName_c2026"/>
      <w:bookmarkEnd w:id="4"/>
      <w:r>
        <w:rPr>
          <w:rFonts w:ascii="Times New Roman;Times;Serif" w:hAnsi="Times New Roman;Times;Serif"/>
          <w:b/>
          <w:i w:val="false"/>
          <w:caps w:val="false"/>
          <w:smallCaps w:val="false"/>
          <w:sz w:val="32"/>
        </w:rPr>
        <w:t xml:space="preserve">THE ONCOLOGY INSTITUTE, INC.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F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D_edei--EntityFileNumber_c20260617"/>
            <w:bookmarkEnd w:id="6"/>
            <w:r>
              <w:rPr>
                <w:b/>
                <w:sz w:val="20"/>
              </w:rPr>
              <w:t>001-39248</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E_edei--EntityTaxIdentificationNum"/>
            <w:bookmarkEnd w:id="7"/>
            <w:r>
              <w:rPr>
                <w:b/>
                <w:sz w:val="20"/>
              </w:rPr>
              <w:t>84-3562323</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jc w:val="center"/>
        <w:rPr>
          <w:caps w:val="false"/>
          <w:smallCaps w:val="false"/>
        </w:rPr>
      </w:pPr>
      <w:r>
        <w:rPr>
          <w:caps w:val="false"/>
          <w:smallCaps w:val="false"/>
        </w:rPr>
        <w:t> </w:t>
      </w:r>
    </w:p>
    <w:tbl>
      <w:tblPr>
        <w:tblW w:w="5110" w:type="dxa"/>
        <w:jc w:val="left"/>
        <w:tblInd w:w="0" w:type="dxa"/>
        <w:tblLayout w:type="fixed"/>
        <w:tblCellMar>
          <w:top w:w="0" w:type="dxa"/>
          <w:left w:w="0" w:type="dxa"/>
          <w:bottom w:w="28" w:type="dxa"/>
          <w:right w:w="0" w:type="dxa"/>
        </w:tblCellMar>
      </w:tblPr>
      <w:tblGrid>
        <w:gridCol w:w="4130"/>
        <w:gridCol w:w="60"/>
        <w:gridCol w:w="920"/>
      </w:tblGrid>
      <w:tr>
        <w:trPr/>
        <w:tc>
          <w:tcPr>
            <w:tcW w:w="4130" w:type="dxa"/>
            <w:tcBorders>
              <w:bottom w:val="single" w:sz="12" w:space="0" w:color="000000"/>
            </w:tcBorders>
            <w:vAlign w:val="center"/>
          </w:tcPr>
          <w:p>
            <w:pPr>
              <w:pStyle w:val="TableContents"/>
              <w:bidi w:val="0"/>
              <w:spacing w:before="0" w:after="283"/>
              <w:jc w:val="center"/>
              <w:rPr>
                <w:b/>
                <w:sz w:val="20"/>
              </w:rPr>
            </w:pPr>
            <w:bookmarkStart w:id="8" w:name="xdx_900_edei--EntityAddressAddressLine1_"/>
            <w:bookmarkEnd w:id="8"/>
            <w:r>
              <w:rPr>
                <w:b/>
                <w:sz w:val="20"/>
              </w:rPr>
              <w:t xml:space="preserve">18000 Studebaker Road, </w:t>
            </w:r>
            <w:bookmarkStart w:id="9" w:name="xdx_905_edei--EntityAddressAddressLine2_"/>
            <w:bookmarkEnd w:id="9"/>
            <w:r>
              <w:rPr>
                <w:b/>
                <w:sz w:val="20"/>
              </w:rPr>
              <w:t xml:space="preserve">Suite 800, </w:t>
            </w:r>
            <w:bookmarkStart w:id="10" w:name="xdx_90E_edei--EntityAddressCityOrTown_c2"/>
            <w:bookmarkEnd w:id="10"/>
            <w:r>
              <w:rPr>
                <w:b/>
                <w:sz w:val="20"/>
              </w:rPr>
              <w:t xml:space="preserve">Cerritos, </w:t>
            </w:r>
            <w:bookmarkStart w:id="11" w:name="xdx_90F_edei--EntityAddressStateOrProvin"/>
            <w:bookmarkEnd w:id="11"/>
            <w:r>
              <w:rPr>
                <w:b/>
                <w:sz w:val="20"/>
              </w:rPr>
              <w:t xml:space="preserve">CA </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2_edei--EntityAddressPostalZipCode"/>
            <w:bookmarkEnd w:id="12"/>
            <w:r>
              <w:rPr>
                <w:b/>
                <w:sz w:val="20"/>
              </w:rPr>
              <w:t>90703</w:t>
            </w:r>
          </w:p>
        </w:tc>
      </w:tr>
      <w:tr>
        <w:trPr/>
        <w:tc>
          <w:tcPr>
            <w:tcW w:w="413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8_edei--CityAreaCode_c20260617__20"/>
      <w:bookmarkEnd w:id="13"/>
      <w:r>
        <w:rPr>
          <w:rFonts w:ascii="Times New Roman;Times;Serif" w:hAnsi="Times New Roman;Times;Serif"/>
          <w:b/>
          <w:i w:val="false"/>
          <w:caps w:val="false"/>
          <w:smallCaps w:val="false"/>
          <w:sz w:val="20"/>
          <w:shd w:fill="FFFFFF" w:val="clear"/>
        </w:rPr>
        <w:t xml:space="preserve">(562) </w:t>
      </w:r>
      <w:bookmarkStart w:id="14" w:name="xdx_90E_edei--LocalPhoneNumber_c20260617"/>
      <w:bookmarkEnd w:id="14"/>
      <w:r>
        <w:rPr>
          <w:rFonts w:ascii="Times New Roman;Times;Serif" w:hAnsi="Times New Roman;Times;Serif"/>
          <w:b/>
          <w:i w:val="false"/>
          <w:caps w:val="false"/>
          <w:smallCaps w:val="false"/>
          <w:sz w:val="20"/>
          <w:shd w:fill="FFFFFF" w:val="clear"/>
        </w:rPr>
        <w:t>735-3226</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jc w:val="both"/>
        <w:rPr>
          <w:caps w:val="false"/>
          <w:smallCaps w:val="false"/>
        </w:rPr>
      </w:pPr>
      <w:r>
        <w:rPr>
          <w:caps w:val="false"/>
          <w:smallCaps w:val="false"/>
        </w:rPr>
        <w:t> </w:t>
      </w:r>
    </w:p>
    <w:p>
      <w:pPr>
        <w:pStyle w:val="TextBody"/>
        <w:bidi w:val="0"/>
        <w:jc w:val="left"/>
        <w:rPr>
          <w:caps w:val="false"/>
          <w:smallCaps w:val="false"/>
        </w:rPr>
      </w:pPr>
      <w:bookmarkStart w:id="15" w:name="xdx_901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 pursuant to Rule 425 under the Securities Act (17 CFR 230.425)</w:t>
      </w:r>
    </w:p>
    <w:p>
      <w:pPr>
        <w:pStyle w:val="TextBody"/>
        <w:bidi w:val="0"/>
        <w:jc w:val="left"/>
        <w:rPr>
          <w:caps w:val="false"/>
          <w:smallCaps w:val="false"/>
        </w:rPr>
      </w:pPr>
      <w:bookmarkStart w:id="16" w:name="xdx_90C_edei--SolicitingMaterial_c202606"/>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jc w:val="left"/>
        <w:rPr>
          <w:caps w:val="false"/>
          <w:smallCaps w:val="false"/>
        </w:rPr>
      </w:pPr>
      <w:bookmarkStart w:id="17" w:name="xdx_909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 pursuant to Rule 14d-2(b) under the Exchange Act (17 CFR 240.14d-2(b))</w:t>
      </w:r>
    </w:p>
    <w:p>
      <w:pPr>
        <w:pStyle w:val="TextBody"/>
        <w:bidi w:val="0"/>
        <w:jc w:val="left"/>
        <w:rPr>
          <w:caps w:val="false"/>
          <w:smallCaps w:val="false"/>
        </w:rPr>
      </w:pPr>
      <w:bookmarkStart w:id="18" w:name="xdx_902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 pursuant to Rule 13e-4(c) under the Exchange Act (17 CFR 240.13e-4(c))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98"/>
        <w:gridCol w:w="60"/>
        <w:gridCol w:w="1219"/>
        <w:gridCol w:w="60"/>
        <w:gridCol w:w="2468"/>
      </w:tblGrid>
      <w:tr>
        <w:trPr/>
        <w:tc>
          <w:tcPr>
            <w:tcW w:w="6398"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219"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468"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6398" w:type="dxa"/>
            <w:tcBorders/>
            <w:shd w:fill="CCEEFF" w:val="clear"/>
            <w:tcMar>
              <w:bottom w:w="0" w:type="dxa"/>
            </w:tcMar>
            <w:vAlign w:val="center"/>
          </w:tcPr>
          <w:p>
            <w:pPr>
              <w:pStyle w:val="TableContents"/>
              <w:bidi w:val="0"/>
              <w:spacing w:before="0" w:after="283"/>
              <w:jc w:val="center"/>
              <w:rPr>
                <w:sz w:val="20"/>
              </w:rPr>
            </w:pPr>
            <w:bookmarkStart w:id="19" w:name="xdx_904_edei--Security12bTitle_c20260617"/>
            <w:bookmarkEnd w:id="19"/>
            <w:r>
              <w:rPr>
                <w:sz w:val="20"/>
              </w:rPr>
              <w:t>Common stock, par value $0.0001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center"/>
              <w:rPr>
                <w:sz w:val="20"/>
              </w:rPr>
            </w:pPr>
            <w:bookmarkStart w:id="20" w:name="xdx_901_edei--TradingSymbol_c20260617__2"/>
            <w:bookmarkEnd w:id="20"/>
            <w:r>
              <w:rPr>
                <w:sz w:val="20"/>
              </w:rPr>
              <w:t>TOI</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8" w:type="dxa"/>
            <w:tcBorders/>
            <w:shd w:fill="CCEEFF" w:val="clear"/>
            <w:tcMar>
              <w:bottom w:w="0" w:type="dxa"/>
            </w:tcMar>
            <w:vAlign w:val="center"/>
          </w:tcPr>
          <w:p>
            <w:pPr>
              <w:pStyle w:val="TableContents"/>
              <w:bidi w:val="0"/>
              <w:spacing w:before="0" w:after="283"/>
              <w:jc w:val="center"/>
              <w:rPr>
                <w:sz w:val="20"/>
              </w:rPr>
            </w:pPr>
            <w:bookmarkStart w:id="21" w:name="xdx_90E_edei--SecurityExchangeName_c2026"/>
            <w:bookmarkEnd w:id="21"/>
            <w:r>
              <w:rPr>
                <w:sz w:val="20"/>
              </w:rPr>
              <w:t>The Nasdaq Stock Market LLC</w:t>
            </w:r>
          </w:p>
        </w:tc>
      </w:tr>
      <w:tr>
        <w:trPr/>
        <w:tc>
          <w:tcPr>
            <w:tcW w:w="6398" w:type="dxa"/>
            <w:tcBorders/>
            <w:shd w:fill="FFFFFF" w:val="clear"/>
            <w:tcMar>
              <w:bottom w:w="0" w:type="dxa"/>
            </w:tcMar>
            <w:vAlign w:val="center"/>
          </w:tcPr>
          <w:p>
            <w:pPr>
              <w:pStyle w:val="TableContents"/>
              <w:bidi w:val="0"/>
              <w:spacing w:before="0" w:after="283"/>
              <w:jc w:val="center"/>
              <w:rPr>
                <w:sz w:val="20"/>
              </w:rPr>
            </w:pPr>
            <w:bookmarkStart w:id="22" w:name="xdx_90E_edei--Security12bTitle_c20260617"/>
            <w:bookmarkEnd w:id="22"/>
            <w:r>
              <w:rPr>
                <w:sz w:val="20"/>
              </w:rPr>
              <w:t xml:space="preserve">Redeemable warrants, each whole warrant exercisable for one share of Common stock, each at an exercise price of $11.50 per share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center"/>
              <w:rPr>
                <w:sz w:val="20"/>
              </w:rPr>
            </w:pPr>
            <w:bookmarkStart w:id="23" w:name="xdx_906_edei--TradingSymbol_c20260617__2"/>
            <w:bookmarkEnd w:id="23"/>
            <w:r>
              <w:rPr>
                <w:sz w:val="20"/>
              </w:rPr>
              <w:t>TOIIW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8" w:type="dxa"/>
            <w:tcBorders/>
            <w:shd w:fill="FFFFFF" w:val="clear"/>
            <w:tcMar>
              <w:bottom w:w="0" w:type="dxa"/>
            </w:tcMar>
            <w:vAlign w:val="center"/>
          </w:tcPr>
          <w:p>
            <w:pPr>
              <w:pStyle w:val="TableContents"/>
              <w:bidi w:val="0"/>
              <w:spacing w:before="0" w:after="283"/>
              <w:jc w:val="center"/>
              <w:rPr>
                <w:sz w:val="20"/>
              </w:rPr>
            </w:pPr>
            <w:bookmarkStart w:id="24" w:name="xdx_906_edei--SecurityExchangeName_c2026"/>
            <w:bookmarkEnd w:id="24"/>
            <w:r>
              <w:rPr>
                <w:sz w:val="20"/>
              </w:rPr>
              <w:t>The Nasdaq Stock Market LLC</w:t>
            </w:r>
          </w:p>
        </w:tc>
      </w:tr>
    </w:tbl>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jc w:val="both"/>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1_edei--EntityEmergingGrowthCompan"/>
      <w:bookmarkEnd w:id="25"/>
      <w:r>
        <w:rPr>
          <w:rFonts w:ascii="Times New Roman;Times;Serif" w:hAnsi="Times New Roman;Times;Serif"/>
          <w:b w:val="false"/>
          <w:i w:val="false"/>
          <w:caps w:val="false"/>
          <w:smallCaps w:val="false"/>
          <w:sz w:val="20"/>
        </w:rPr>
        <w:t xml:space="preserve">☐ </w:t>
      </w:r>
    </w:p>
    <w:p>
      <w:pPr>
        <w:pStyle w:val="TextBody"/>
        <w:bidi w:val="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2026, The Oncology Institute, Inc. (the “Company”) held its 2026 Annual Meeting of Stockholders (the “2026 Annual Meeting”) in which the Company’s holders of Common Stock considered four proposals, each of which is described in more detail in the Company’s Definitive Proxy Statement, filed with the U.S. Securities and Exchange Commission (the “SEC”) on 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a total of 75,242,437 shares of the Company’s common stock, par value $0.0001 per share (“Common Stock”) were voted, representing 75.26% of the 99,982,933 shares of Common Stock outstanding as of the April 24, 2026 record date. The results of the items voted on at the 2026 Annual Meeting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Proposal 1: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stockholders elected eight directors to serve for the ensuing year and until their successors are elected and qualified, or until their earlier death, resignation or removal. The Company elects its directors on a plurality vote basis. The votes regarding the election of directors were as follows:</w:t>
      </w:r>
    </w:p>
    <w:p>
      <w:pPr>
        <w:pStyle w:val="TextBody"/>
        <w:bidi w:val="0"/>
        <w:spacing w:before="0" w:after="0"/>
        <w:ind w:left="0" w:right="0" w:hanging="0"/>
        <w:jc w:val="both"/>
        <w:rPr>
          <w:caps w:val="false"/>
          <w:smallCaps w:val="false"/>
        </w:rPr>
      </w:pPr>
      <w:r>
        <w:rPr>
          <w:caps w:val="false"/>
          <w:smallCaps w:val="false"/>
        </w:rPr>
        <w:t> </w:t>
      </w:r>
    </w:p>
    <w:tbl>
      <w:tblPr>
        <w:tblW w:w="6408" w:type="dxa"/>
        <w:jc w:val="left"/>
        <w:tblInd w:w="0" w:type="dxa"/>
        <w:tblLayout w:type="fixed"/>
        <w:tblCellMar>
          <w:top w:w="0" w:type="dxa"/>
          <w:left w:w="0" w:type="dxa"/>
          <w:bottom w:w="28" w:type="dxa"/>
          <w:right w:w="0" w:type="dxa"/>
        </w:tblCellMar>
      </w:tblPr>
      <w:tblGrid>
        <w:gridCol w:w="2090"/>
        <w:gridCol w:w="60"/>
        <w:gridCol w:w="60"/>
        <w:gridCol w:w="1100"/>
        <w:gridCol w:w="60"/>
        <w:gridCol w:w="60"/>
        <w:gridCol w:w="83"/>
        <w:gridCol w:w="1361"/>
        <w:gridCol w:w="60"/>
        <w:gridCol w:w="60"/>
        <w:gridCol w:w="69"/>
        <w:gridCol w:w="1270"/>
        <w:gridCol w:w="75"/>
      </w:tblGrid>
      <w:tr>
        <w:trPr/>
        <w:tc>
          <w:tcPr>
            <w:tcW w:w="2090" w:type="dxa"/>
            <w:tcBorders>
              <w:bottom w:val="single" w:sz="8" w:space="0" w:color="000000"/>
            </w:tcBorders>
            <w:vAlign w:val="center"/>
          </w:tcPr>
          <w:p>
            <w:pPr>
              <w:pStyle w:val="TableContents"/>
              <w:bidi w:val="0"/>
              <w:spacing w:before="0" w:after="283"/>
              <w:jc w:val="center"/>
              <w:rPr>
                <w:b/>
                <w:sz w:val="16"/>
              </w:rPr>
            </w:pPr>
            <w:r>
              <w:rPr>
                <w:b/>
                <w:sz w:val="16"/>
              </w:rPr>
              <w:t>Nominee</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bidi w:val="0"/>
              <w:spacing w:before="0" w:after="283"/>
              <w:jc w:val="center"/>
              <w:rPr>
                <w:b/>
                <w:sz w:val="16"/>
              </w:rPr>
            </w:pPr>
            <w:r>
              <w:rPr>
                <w:b/>
                <w:sz w:val="16"/>
              </w:rPr>
              <w:t>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8" w:space="0" w:color="000000"/>
            </w:tcBorders>
            <w:vAlign w:val="center"/>
          </w:tcPr>
          <w:p>
            <w:pPr>
              <w:pStyle w:val="TableContents"/>
              <w:bidi w:val="0"/>
              <w:spacing w:before="0" w:after="283"/>
              <w:jc w:val="center"/>
              <w:rPr>
                <w:b/>
                <w:sz w:val="16"/>
              </w:rPr>
            </w:pPr>
            <w:r>
              <w:rPr>
                <w:b/>
                <w:sz w:val="16"/>
              </w:rPr>
              <w:t>Authority Withheld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9" w:type="dxa"/>
            <w:gridSpan w:val="2"/>
            <w:tcBorders>
              <w:bottom w:val="single" w:sz="8" w:space="0" w:color="000000"/>
            </w:tcBorders>
            <w:vAlign w:val="center"/>
          </w:tcPr>
          <w:p>
            <w:pPr>
              <w:pStyle w:val="TableContents"/>
              <w:bidi w:val="0"/>
              <w:spacing w:before="0" w:after="283"/>
              <w:jc w:val="center"/>
              <w:rPr>
                <w:b/>
                <w:sz w:val="16"/>
              </w:rPr>
            </w:pPr>
            <w:r>
              <w:rPr>
                <w:b/>
                <w:sz w:val="16"/>
              </w:rPr>
              <w:t>Broker Non-Votes</w:t>
            </w:r>
          </w:p>
        </w:tc>
        <w:tc>
          <w:tcPr>
            <w:tcW w:w="75" w:type="dxa"/>
            <w:tcBorders/>
            <w:tcMar>
              <w:bottom w:w="0" w:type="dxa"/>
            </w:tcMar>
            <w:vAlign w:val="center"/>
          </w:tcPr>
          <w:p>
            <w:pPr>
              <w:pStyle w:val="TableContents"/>
              <w:bidi w:val="0"/>
              <w:spacing w:before="0" w:after="283"/>
              <w:jc w:val="left"/>
              <w:rPr/>
            </w:pPr>
            <w:r>
              <w:rPr/>
              <w:t> </w:t>
            </w:r>
          </w:p>
        </w:tc>
      </w:tr>
      <w:tr>
        <w:trPr/>
        <w:tc>
          <w:tcPr>
            <w:tcW w:w="2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4"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9"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090" w:type="dxa"/>
            <w:tcBorders/>
            <w:shd w:fill="CCEEFF" w:val="clear"/>
            <w:tcMar>
              <w:bottom w:w="0" w:type="dxa"/>
            </w:tcMar>
            <w:vAlign w:val="center"/>
          </w:tcPr>
          <w:p>
            <w:pPr>
              <w:pStyle w:val="TableContents"/>
              <w:bidi w:val="0"/>
              <w:spacing w:before="0" w:after="283"/>
              <w:jc w:val="left"/>
              <w:rPr/>
            </w:pPr>
            <w:r>
              <w:rPr/>
              <w:t>Brad Hively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24,098,631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61" w:type="dxa"/>
            <w:tcBorders/>
            <w:shd w:fill="CCEEFF" w:val="clear"/>
            <w:tcMar>
              <w:bottom w:w="0" w:type="dxa"/>
            </w:tcMar>
            <w:vAlign w:val="center"/>
          </w:tcPr>
          <w:p>
            <w:pPr>
              <w:pStyle w:val="TableContents"/>
              <w:bidi w:val="0"/>
              <w:spacing w:before="0" w:after="283"/>
              <w:jc w:val="right"/>
              <w:rPr/>
            </w:pPr>
            <w:r>
              <w:rPr/>
              <w:t>1,477,084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right"/>
              <w:rPr/>
            </w:pPr>
            <w:r>
              <w:rPr/>
              <w:t>49,666,722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90" w:type="dxa"/>
            <w:tcBorders/>
            <w:shd w:fill="FFFFFF" w:val="clear"/>
            <w:tcMar>
              <w:bottom w:w="0" w:type="dxa"/>
            </w:tcMar>
            <w:vAlign w:val="center"/>
          </w:tcPr>
          <w:p>
            <w:pPr>
              <w:pStyle w:val="TableContents"/>
              <w:bidi w:val="0"/>
              <w:spacing w:before="0" w:after="283"/>
              <w:jc w:val="left"/>
              <w:rPr/>
            </w:pPr>
            <w:r>
              <w:rPr/>
              <w:t>Karen Johnson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23,014,174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61" w:type="dxa"/>
            <w:tcBorders/>
            <w:shd w:fill="FFFFFF" w:val="clear"/>
            <w:tcMar>
              <w:bottom w:w="0" w:type="dxa"/>
            </w:tcMar>
            <w:vAlign w:val="center"/>
          </w:tcPr>
          <w:p>
            <w:pPr>
              <w:pStyle w:val="TableContents"/>
              <w:bidi w:val="0"/>
              <w:spacing w:before="0" w:after="283"/>
              <w:jc w:val="right"/>
              <w:rPr/>
            </w:pPr>
            <w:r>
              <w:rPr/>
              <w:t>2,561,541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right"/>
              <w:rPr/>
            </w:pPr>
            <w:r>
              <w:rPr/>
              <w:t>49,666,722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90" w:type="dxa"/>
            <w:tcBorders/>
            <w:shd w:fill="CCEEFF" w:val="clear"/>
            <w:tcMar>
              <w:bottom w:w="0" w:type="dxa"/>
            </w:tcMar>
            <w:vAlign w:val="center"/>
          </w:tcPr>
          <w:p>
            <w:pPr>
              <w:pStyle w:val="TableContents"/>
              <w:bidi w:val="0"/>
              <w:spacing w:before="0" w:after="283"/>
              <w:jc w:val="left"/>
              <w:rPr/>
            </w:pPr>
            <w:r>
              <w:rPr/>
              <w:t>Mohit Kaushal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24,061,396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61" w:type="dxa"/>
            <w:tcBorders/>
            <w:shd w:fill="CCEEFF" w:val="clear"/>
            <w:tcMar>
              <w:bottom w:w="0" w:type="dxa"/>
            </w:tcMar>
            <w:vAlign w:val="center"/>
          </w:tcPr>
          <w:p>
            <w:pPr>
              <w:pStyle w:val="TableContents"/>
              <w:bidi w:val="0"/>
              <w:spacing w:before="0" w:after="283"/>
              <w:jc w:val="right"/>
              <w:rPr/>
            </w:pPr>
            <w:r>
              <w:rPr/>
              <w:t>1,514,319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right"/>
              <w:rPr/>
            </w:pPr>
            <w:r>
              <w:rPr/>
              <w:t>49,666,722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90" w:type="dxa"/>
            <w:tcBorders/>
            <w:shd w:fill="FFFFFF" w:val="clear"/>
            <w:tcMar>
              <w:bottom w:w="0" w:type="dxa"/>
            </w:tcMar>
            <w:vAlign w:val="center"/>
          </w:tcPr>
          <w:p>
            <w:pPr>
              <w:pStyle w:val="TableContents"/>
              <w:bidi w:val="0"/>
              <w:spacing w:before="0" w:after="283"/>
              <w:jc w:val="left"/>
              <w:rPr/>
            </w:pPr>
            <w:r>
              <w:rPr/>
              <w:t>Anne McGeorge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24,062,503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61" w:type="dxa"/>
            <w:tcBorders/>
            <w:shd w:fill="FFFFFF" w:val="clear"/>
            <w:tcMar>
              <w:bottom w:w="0" w:type="dxa"/>
            </w:tcMar>
            <w:vAlign w:val="center"/>
          </w:tcPr>
          <w:p>
            <w:pPr>
              <w:pStyle w:val="TableContents"/>
              <w:bidi w:val="0"/>
              <w:spacing w:before="0" w:after="283"/>
              <w:jc w:val="right"/>
              <w:rPr/>
            </w:pPr>
            <w:r>
              <w:rPr/>
              <w:t>1,513,212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right"/>
              <w:rPr/>
            </w:pPr>
            <w:r>
              <w:rPr/>
              <w:t>49,666,722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90" w:type="dxa"/>
            <w:tcBorders/>
            <w:shd w:fill="CCEEFF" w:val="clear"/>
            <w:tcMar>
              <w:bottom w:w="0" w:type="dxa"/>
            </w:tcMar>
            <w:vAlign w:val="center"/>
          </w:tcPr>
          <w:p>
            <w:pPr>
              <w:pStyle w:val="TableContents"/>
              <w:bidi w:val="0"/>
              <w:spacing w:before="0" w:after="283"/>
              <w:jc w:val="left"/>
              <w:rPr/>
            </w:pPr>
            <w:r>
              <w:rPr/>
              <w:t>Mark Pacala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24,068,647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61" w:type="dxa"/>
            <w:tcBorders/>
            <w:shd w:fill="CCEEFF" w:val="clear"/>
            <w:tcMar>
              <w:bottom w:w="0" w:type="dxa"/>
            </w:tcMar>
            <w:vAlign w:val="center"/>
          </w:tcPr>
          <w:p>
            <w:pPr>
              <w:pStyle w:val="TableContents"/>
              <w:bidi w:val="0"/>
              <w:spacing w:before="0" w:after="283"/>
              <w:jc w:val="right"/>
              <w:rPr/>
            </w:pPr>
            <w:r>
              <w:rPr/>
              <w:t>1,507,068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right"/>
              <w:rPr/>
            </w:pPr>
            <w:r>
              <w:rPr/>
              <w:t>49,666,722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90" w:type="dxa"/>
            <w:tcBorders/>
            <w:shd w:fill="FFFFFF" w:val="clear"/>
            <w:tcMar>
              <w:bottom w:w="0" w:type="dxa"/>
            </w:tcMar>
            <w:vAlign w:val="center"/>
          </w:tcPr>
          <w:p>
            <w:pPr>
              <w:pStyle w:val="TableContents"/>
              <w:bidi w:val="0"/>
              <w:spacing w:before="0" w:after="283"/>
              <w:jc w:val="left"/>
              <w:rPr/>
            </w:pPr>
            <w:r>
              <w:rPr/>
              <w:t>Mark Stolper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24,102,389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61" w:type="dxa"/>
            <w:tcBorders/>
            <w:shd w:fill="FFFFFF" w:val="clear"/>
            <w:tcMar>
              <w:bottom w:w="0" w:type="dxa"/>
            </w:tcMar>
            <w:vAlign w:val="center"/>
          </w:tcPr>
          <w:p>
            <w:pPr>
              <w:pStyle w:val="TableContents"/>
              <w:bidi w:val="0"/>
              <w:spacing w:before="0" w:after="283"/>
              <w:jc w:val="right"/>
              <w:rPr/>
            </w:pPr>
            <w:r>
              <w:rPr/>
              <w:t>1,473,326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right"/>
              <w:rPr/>
            </w:pPr>
            <w:r>
              <w:rPr/>
              <w:t>49,666,722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90" w:type="dxa"/>
            <w:tcBorders/>
            <w:shd w:fill="CCEEFF" w:val="clear"/>
            <w:tcMar>
              <w:bottom w:w="0" w:type="dxa"/>
            </w:tcMar>
            <w:vAlign w:val="center"/>
          </w:tcPr>
          <w:p>
            <w:pPr>
              <w:pStyle w:val="TableContents"/>
              <w:bidi w:val="0"/>
              <w:spacing w:before="0" w:after="283"/>
              <w:jc w:val="left"/>
              <w:rPr/>
            </w:pPr>
            <w:r>
              <w:rPr/>
              <w:t>Kimberly Tzoumakas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24,102,880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61" w:type="dxa"/>
            <w:tcBorders/>
            <w:shd w:fill="CCEEFF" w:val="clear"/>
            <w:tcMar>
              <w:bottom w:w="0" w:type="dxa"/>
            </w:tcMar>
            <w:vAlign w:val="center"/>
          </w:tcPr>
          <w:p>
            <w:pPr>
              <w:pStyle w:val="TableContents"/>
              <w:bidi w:val="0"/>
              <w:spacing w:before="0" w:after="283"/>
              <w:jc w:val="right"/>
              <w:rPr/>
            </w:pPr>
            <w:r>
              <w:rPr/>
              <w:t>1,472,835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right"/>
              <w:rPr/>
            </w:pPr>
            <w:r>
              <w:rPr/>
              <w:t>49,666,722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90" w:type="dxa"/>
            <w:tcBorders/>
            <w:shd w:fill="FFFFFF" w:val="clear"/>
            <w:tcMar>
              <w:bottom w:w="0" w:type="dxa"/>
            </w:tcMar>
            <w:vAlign w:val="center"/>
          </w:tcPr>
          <w:p>
            <w:pPr>
              <w:pStyle w:val="TableContents"/>
              <w:bidi w:val="0"/>
              <w:spacing w:before="0" w:after="283"/>
              <w:jc w:val="left"/>
              <w:rPr/>
            </w:pPr>
            <w:r>
              <w:rPr/>
              <w:t>Daniel Virnich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25,528,398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61" w:type="dxa"/>
            <w:tcBorders/>
            <w:shd w:fill="FFFFFF" w:val="clear"/>
            <w:tcMar>
              <w:bottom w:w="0" w:type="dxa"/>
            </w:tcMar>
            <w:vAlign w:val="center"/>
          </w:tcPr>
          <w:p>
            <w:pPr>
              <w:pStyle w:val="TableContents"/>
              <w:bidi w:val="0"/>
              <w:spacing w:before="0" w:after="283"/>
              <w:jc w:val="right"/>
              <w:rPr/>
            </w:pPr>
            <w:r>
              <w:rPr/>
              <w:t>47,317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right"/>
              <w:rPr/>
            </w:pPr>
            <w:r>
              <w:rPr/>
              <w:t>49,666,722</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Proposal 2: </w:t>
      </w:r>
      <w:r>
        <w:rPr>
          <w:rFonts w:ascii="Times New Roman;Times;Serif" w:hAnsi="Times New Roman;Times;Serif"/>
          <w:b/>
          <w:i/>
          <w:caps w:val="false"/>
          <w:smallCaps w:val="false"/>
          <w:sz w:val="20"/>
          <w:shd w:fill="FFFFFF" w:val="clear"/>
        </w:rPr>
        <w:t>Ratification of the Appointment of Independent Registered Public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ratification of the appointment of BDO USA, P.C. as the Company’s independent registered public accounting firm for the fiscal year ending December 31, 2026 was approved. The votes regarding the ratification of the appointment were as follows:</w:t>
      </w:r>
    </w:p>
    <w:p>
      <w:pPr>
        <w:pStyle w:val="TextBody"/>
        <w:bidi w:val="0"/>
        <w:spacing w:before="0" w:after="0"/>
        <w:ind w:left="0" w:right="0" w:hanging="0"/>
        <w:jc w:val="both"/>
        <w:rPr>
          <w:caps w:val="false"/>
          <w:smallCaps w:val="false"/>
        </w:rPr>
      </w:pPr>
      <w:r>
        <w:rPr>
          <w:caps w:val="false"/>
          <w:smallCaps w:val="false"/>
        </w:rPr>
        <w:t> </w:t>
      </w:r>
    </w:p>
    <w:tbl>
      <w:tblPr>
        <w:tblW w:w="4250" w:type="dxa"/>
        <w:jc w:val="left"/>
        <w:tblInd w:w="0" w:type="dxa"/>
        <w:tblLayout w:type="fixed"/>
        <w:tblCellMar>
          <w:top w:w="0" w:type="dxa"/>
          <w:left w:w="0" w:type="dxa"/>
          <w:bottom w:w="28" w:type="dxa"/>
          <w:right w:w="0" w:type="dxa"/>
        </w:tblCellMar>
      </w:tblPr>
      <w:tblGrid>
        <w:gridCol w:w="1115"/>
        <w:gridCol w:w="60"/>
        <w:gridCol w:w="60"/>
        <w:gridCol w:w="680"/>
        <w:gridCol w:w="60"/>
        <w:gridCol w:w="60"/>
        <w:gridCol w:w="800"/>
        <w:gridCol w:w="60"/>
        <w:gridCol w:w="1355"/>
      </w:tblGrid>
      <w:tr>
        <w:trPr/>
        <w:tc>
          <w:tcPr>
            <w:tcW w:w="1115" w:type="dxa"/>
            <w:tcBorders>
              <w:bottom w:val="single" w:sz="8" w:space="0" w:color="000000"/>
            </w:tcBorders>
            <w:vAlign w:val="center"/>
          </w:tcPr>
          <w:p>
            <w:pPr>
              <w:pStyle w:val="TableContents"/>
              <w:bidi w:val="0"/>
              <w:spacing w:before="0" w:after="283"/>
              <w:jc w:val="center"/>
              <w:rPr>
                <w:b/>
                <w:sz w:val="16"/>
              </w:rPr>
            </w:pPr>
            <w:r>
              <w:rPr>
                <w:b/>
                <w:sz w:val="16"/>
              </w:rPr>
              <w:t>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bottom w:val="single" w:sz="8" w:space="0" w:color="000000"/>
            </w:tcBorders>
            <w:vAlign w:val="center"/>
          </w:tcPr>
          <w:p>
            <w:pPr>
              <w:pStyle w:val="TableContents"/>
              <w:bidi w:val="0"/>
              <w:spacing w:before="0" w:after="283"/>
              <w:jc w:val="center"/>
              <w:rPr>
                <w:b/>
                <w:sz w:val="16"/>
              </w:rPr>
            </w:pPr>
            <w:r>
              <w:rPr>
                <w:b/>
                <w:sz w:val="16"/>
              </w:rPr>
              <w:t>Against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8" w:space="0" w:color="000000"/>
            </w:tcBorders>
            <w:vAlign w:val="center"/>
          </w:tcPr>
          <w:p>
            <w:pPr>
              <w:pStyle w:val="TableContents"/>
              <w:bidi w:val="0"/>
              <w:spacing w:before="0" w:after="283"/>
              <w:jc w:val="center"/>
              <w:rPr>
                <w:b/>
                <w:sz w:val="16"/>
              </w:rPr>
            </w:pPr>
            <w:r>
              <w:rPr>
                <w:b/>
                <w:sz w:val="16"/>
              </w:rPr>
              <w:t>Abstain</w:t>
            </w:r>
          </w:p>
        </w:tc>
        <w:tc>
          <w:tcPr>
            <w:tcW w:w="60" w:type="dxa"/>
            <w:tcBorders/>
            <w:tcMar>
              <w:bottom w:w="0" w:type="dxa"/>
            </w:tcMar>
            <w:vAlign w:val="center"/>
          </w:tcPr>
          <w:p>
            <w:pPr>
              <w:pStyle w:val="TableContents"/>
              <w:bidi w:val="0"/>
              <w:spacing w:before="0" w:after="283"/>
              <w:jc w:val="left"/>
              <w:rPr/>
            </w:pPr>
            <w:r>
              <w:rPr/>
              <w:t> </w:t>
            </w:r>
          </w:p>
        </w:tc>
        <w:tc>
          <w:tcPr>
            <w:tcW w:w="1355" w:type="dxa"/>
            <w:tcBorders>
              <w:bottom w:val="single" w:sz="8" w:space="0" w:color="000000"/>
            </w:tcBorders>
            <w:vAlign w:val="center"/>
          </w:tcPr>
          <w:p>
            <w:pPr>
              <w:pStyle w:val="TableContents"/>
              <w:bidi w:val="0"/>
              <w:spacing w:before="0" w:after="283"/>
              <w:jc w:val="center"/>
              <w:rPr>
                <w:b/>
                <w:sz w:val="16"/>
              </w:rPr>
            </w:pPr>
            <w:r>
              <w:rPr>
                <w:b/>
                <w:sz w:val="16"/>
              </w:rPr>
              <w:t>Broker Non-Votes</w:t>
            </w:r>
          </w:p>
        </w:tc>
      </w:tr>
      <w:tr>
        <w:trPr/>
        <w:tc>
          <w:tcPr>
            <w:tcW w:w="111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center"/>
              <w:rPr/>
            </w:pPr>
            <w:r>
              <w:rPr/>
              <w:t>75,098,890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0" w:type="dxa"/>
            <w:tcBorders/>
            <w:shd w:fill="CCEEFF" w:val="clear"/>
            <w:tcMar>
              <w:bottom w:w="0" w:type="dxa"/>
            </w:tcMar>
            <w:vAlign w:val="center"/>
          </w:tcPr>
          <w:p>
            <w:pPr>
              <w:pStyle w:val="TableContents"/>
              <w:bidi w:val="0"/>
              <w:spacing w:before="0" w:after="283"/>
              <w:jc w:val="center"/>
              <w:rPr/>
            </w:pPr>
            <w:r>
              <w:rPr/>
              <w:t>37,257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00" w:type="dxa"/>
            <w:tcBorders/>
            <w:shd w:fill="CCEEFF" w:val="clear"/>
            <w:tcMar>
              <w:bottom w:w="0" w:type="dxa"/>
            </w:tcMar>
            <w:vAlign w:val="center"/>
          </w:tcPr>
          <w:p>
            <w:pPr>
              <w:pStyle w:val="TableContents"/>
              <w:bidi w:val="0"/>
              <w:spacing w:before="0" w:after="283"/>
              <w:jc w:val="center"/>
              <w:rPr/>
            </w:pPr>
            <w:r>
              <w:rPr/>
              <w:t>106,290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55" w:type="dxa"/>
            <w:tcBorders/>
            <w:shd w:fill="CCEEFF" w:val="clear"/>
            <w:tcMar>
              <w:bottom w:w="0" w:type="dxa"/>
            </w:tcMar>
            <w:vAlign w:val="center"/>
          </w:tcPr>
          <w:p>
            <w:pPr>
              <w:pStyle w:val="TableContents"/>
              <w:bidi w:val="0"/>
              <w:spacing w:before="0" w:after="283"/>
              <w:jc w:val="center"/>
              <w:rPr/>
            </w:pPr>
            <w:r>
              <w:rPr/>
              <w:t>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Proposal 3: Approval, on a non-binding, advisory basis, of the Company’s named executive officers (the “Say-on-Pay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Say-on-Pay Proposal was approved. </w:t>
      </w:r>
      <w:r>
        <w:rPr>
          <w:rFonts w:ascii="Times New Roman;Times;Serif" w:hAnsi="Times New Roman;Times;Serif"/>
          <w:b w:val="false"/>
          <w:i w:val="false"/>
          <w:caps w:val="false"/>
          <w:smallCaps w:val="false"/>
          <w:sz w:val="20"/>
          <w:shd w:fill="FFFFFF" w:val="clear"/>
        </w:rPr>
        <w:t>The votes regarding the approval of the Say-on-Pay Proposal were as follows:</w:t>
      </w:r>
    </w:p>
    <w:p>
      <w:pPr>
        <w:pStyle w:val="TextBody"/>
        <w:bidi w:val="0"/>
        <w:spacing w:before="0" w:after="0"/>
        <w:ind w:left="0" w:right="0" w:hanging="0"/>
        <w:jc w:val="both"/>
        <w:rPr>
          <w:caps w:val="false"/>
          <w:smallCaps w:val="false"/>
        </w:rPr>
      </w:pPr>
      <w:r>
        <w:rPr>
          <w:caps w:val="false"/>
          <w:smallCaps w:val="false"/>
        </w:rPr>
        <w:t> </w:t>
      </w:r>
    </w:p>
    <w:tbl>
      <w:tblPr>
        <w:tblW w:w="4370" w:type="dxa"/>
        <w:jc w:val="left"/>
        <w:tblInd w:w="0" w:type="dxa"/>
        <w:tblLayout w:type="fixed"/>
        <w:tblCellMar>
          <w:top w:w="0" w:type="dxa"/>
          <w:left w:w="0" w:type="dxa"/>
          <w:bottom w:w="28" w:type="dxa"/>
          <w:right w:w="0" w:type="dxa"/>
        </w:tblCellMar>
      </w:tblPr>
      <w:tblGrid>
        <w:gridCol w:w="1115"/>
        <w:gridCol w:w="60"/>
        <w:gridCol w:w="60"/>
        <w:gridCol w:w="800"/>
        <w:gridCol w:w="60"/>
        <w:gridCol w:w="60"/>
        <w:gridCol w:w="680"/>
        <w:gridCol w:w="60"/>
        <w:gridCol w:w="60"/>
        <w:gridCol w:w="1340"/>
        <w:gridCol w:w="75"/>
      </w:tblGrid>
      <w:tr>
        <w:trPr/>
        <w:tc>
          <w:tcPr>
            <w:tcW w:w="1115" w:type="dxa"/>
            <w:tcBorders>
              <w:bottom w:val="single" w:sz="8" w:space="0" w:color="000000"/>
            </w:tcBorders>
            <w:vAlign w:val="center"/>
          </w:tcPr>
          <w:p>
            <w:pPr>
              <w:pStyle w:val="TableContents"/>
              <w:bidi w:val="0"/>
              <w:spacing w:before="0" w:after="283"/>
              <w:jc w:val="center"/>
              <w:rPr>
                <w:b/>
                <w:sz w:val="16"/>
              </w:rPr>
            </w:pPr>
            <w:r>
              <w:rPr>
                <w:b/>
                <w:sz w:val="16"/>
              </w:rPr>
              <w:t>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8" w:space="0" w:color="000000"/>
            </w:tcBorders>
            <w:vAlign w:val="center"/>
          </w:tcPr>
          <w:p>
            <w:pPr>
              <w:pStyle w:val="TableContents"/>
              <w:bidi w:val="0"/>
              <w:spacing w:before="0" w:after="283"/>
              <w:jc w:val="center"/>
              <w:rPr>
                <w:b/>
                <w:sz w:val="16"/>
              </w:rPr>
            </w:pPr>
            <w:r>
              <w:rPr>
                <w:b/>
                <w:sz w:val="16"/>
              </w:rPr>
              <w:t>Against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bottom w:val="single" w:sz="8" w:space="0" w:color="000000"/>
            </w:tcBorders>
            <w:vAlign w:val="center"/>
          </w:tcPr>
          <w:p>
            <w:pPr>
              <w:pStyle w:val="TableContents"/>
              <w:bidi w:val="0"/>
              <w:spacing w:before="0" w:after="283"/>
              <w:jc w:val="center"/>
              <w:rPr>
                <w:b/>
                <w:sz w:val="16"/>
              </w:rPr>
            </w:pPr>
            <w:r>
              <w:rPr>
                <w:b/>
                <w:sz w:val="16"/>
              </w:rPr>
              <w:t>Abstain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8" w:space="0" w:color="000000"/>
            </w:tcBorders>
            <w:vAlign w:val="center"/>
          </w:tcPr>
          <w:p>
            <w:pPr>
              <w:pStyle w:val="TableContents"/>
              <w:bidi w:val="0"/>
              <w:spacing w:before="0" w:after="283"/>
              <w:jc w:val="center"/>
              <w:rPr>
                <w:b/>
                <w:sz w:val="16"/>
              </w:rPr>
            </w:pPr>
            <w:r>
              <w:rPr>
                <w:b/>
                <w:sz w:val="16"/>
              </w:rPr>
              <w:t>Broker Non-Votes</w:t>
            </w:r>
          </w:p>
        </w:tc>
        <w:tc>
          <w:tcPr>
            <w:tcW w:w="75" w:type="dxa"/>
            <w:tcBorders/>
            <w:tcMar>
              <w:bottom w:w="0" w:type="dxa"/>
            </w:tcMar>
            <w:vAlign w:val="center"/>
          </w:tcPr>
          <w:p>
            <w:pPr>
              <w:pStyle w:val="TableContents"/>
              <w:bidi w:val="0"/>
              <w:spacing w:before="0" w:after="283"/>
              <w:jc w:val="left"/>
              <w:rPr/>
            </w:pPr>
            <w:r>
              <w:rPr/>
              <w:t> </w:t>
            </w:r>
          </w:p>
        </w:tc>
      </w:tr>
      <w:tr>
        <w:trPr/>
        <w:tc>
          <w:tcPr>
            <w:tcW w:w="111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center"/>
              <w:rPr/>
            </w:pPr>
            <w:r>
              <w:rPr/>
              <w:t>25,280,934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00" w:type="dxa"/>
            <w:tcBorders/>
            <w:shd w:fill="CCEEFF" w:val="clear"/>
            <w:tcMar>
              <w:bottom w:w="0" w:type="dxa"/>
            </w:tcMar>
            <w:vAlign w:val="center"/>
          </w:tcPr>
          <w:p>
            <w:pPr>
              <w:pStyle w:val="TableContents"/>
              <w:bidi w:val="0"/>
              <w:spacing w:before="0" w:after="283"/>
              <w:jc w:val="center"/>
              <w:rPr/>
            </w:pPr>
            <w:r>
              <w:rPr/>
              <w:t>282,655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0" w:type="dxa"/>
            <w:tcBorders/>
            <w:shd w:fill="CCEEFF" w:val="clear"/>
            <w:tcMar>
              <w:bottom w:w="0" w:type="dxa"/>
            </w:tcMar>
            <w:vAlign w:val="center"/>
          </w:tcPr>
          <w:p>
            <w:pPr>
              <w:pStyle w:val="TableContents"/>
              <w:bidi w:val="0"/>
              <w:spacing w:before="0" w:after="283"/>
              <w:jc w:val="center"/>
              <w:rPr/>
            </w:pPr>
            <w:r>
              <w:rPr/>
              <w:t>12,126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pPr>
            <w:r>
              <w:rPr/>
              <w:t>49,666,722</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Proposal 4: Approval, on a non-binding, advisory basis, of the preferred frequency of future advisory votes on the compensation of the Company’s named executive officers (the “Say-on-Frequency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Say-on-Frequency Proposal was approved a</w:t>
      </w:r>
      <w:r>
        <w:rPr>
          <w:rFonts w:ascii="Times New Roman;Times;Serif" w:hAnsi="Times New Roman;Times;Serif"/>
          <w:b w:val="false"/>
          <w:i w:val="false"/>
          <w:caps w:val="false"/>
          <w:smallCaps w:val="false"/>
          <w:sz w:val="20"/>
          <w:shd w:fill="FFFFFF" w:val="clear"/>
        </w:rPr>
        <w:t>s follows:</w:t>
      </w:r>
    </w:p>
    <w:p>
      <w:pPr>
        <w:pStyle w:val="TextBody"/>
        <w:bidi w:val="0"/>
        <w:spacing w:before="0" w:after="0"/>
        <w:ind w:left="0" w:right="0" w:hanging="0"/>
        <w:jc w:val="both"/>
        <w:rPr>
          <w:caps w:val="false"/>
          <w:smallCaps w:val="false"/>
        </w:rPr>
      </w:pPr>
      <w:r>
        <w:rPr>
          <w:caps w:val="false"/>
          <w:smallCaps w:val="false"/>
        </w:rPr>
        <w:t> </w:t>
      </w:r>
    </w:p>
    <w:tbl>
      <w:tblPr>
        <w:tblW w:w="5170" w:type="dxa"/>
        <w:jc w:val="left"/>
        <w:tblInd w:w="0" w:type="dxa"/>
        <w:tblLayout w:type="fixed"/>
        <w:tblCellMar>
          <w:top w:w="0" w:type="dxa"/>
          <w:left w:w="0" w:type="dxa"/>
          <w:bottom w:w="28" w:type="dxa"/>
          <w:right w:w="0" w:type="dxa"/>
        </w:tblCellMar>
      </w:tblPr>
      <w:tblGrid>
        <w:gridCol w:w="1115"/>
        <w:gridCol w:w="60"/>
        <w:gridCol w:w="60"/>
        <w:gridCol w:w="680"/>
        <w:gridCol w:w="60"/>
        <w:gridCol w:w="60"/>
        <w:gridCol w:w="800"/>
        <w:gridCol w:w="60"/>
        <w:gridCol w:w="60"/>
        <w:gridCol w:w="680"/>
        <w:gridCol w:w="60"/>
        <w:gridCol w:w="60"/>
        <w:gridCol w:w="1340"/>
        <w:gridCol w:w="75"/>
      </w:tblGrid>
      <w:tr>
        <w:trPr/>
        <w:tc>
          <w:tcPr>
            <w:tcW w:w="1115" w:type="dxa"/>
            <w:tcBorders>
              <w:bottom w:val="single" w:sz="8" w:space="0" w:color="000000"/>
            </w:tcBorders>
            <w:vAlign w:val="center"/>
          </w:tcPr>
          <w:p>
            <w:pPr>
              <w:pStyle w:val="TableContents"/>
              <w:bidi w:val="0"/>
              <w:spacing w:before="0" w:after="283"/>
              <w:jc w:val="center"/>
              <w:rPr>
                <w:b/>
                <w:sz w:val="16"/>
              </w:rPr>
            </w:pPr>
            <w:r>
              <w:rPr>
                <w:b/>
                <w:sz w:val="16"/>
              </w:rPr>
              <w:t>1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bottom w:val="single" w:sz="8" w:space="0" w:color="000000"/>
            </w:tcBorders>
            <w:vAlign w:val="center"/>
          </w:tcPr>
          <w:p>
            <w:pPr>
              <w:pStyle w:val="TableContents"/>
              <w:bidi w:val="0"/>
              <w:spacing w:before="0" w:after="283"/>
              <w:jc w:val="center"/>
              <w:rPr>
                <w:b/>
                <w:sz w:val="16"/>
              </w:rPr>
            </w:pPr>
            <w:r>
              <w:rPr>
                <w:b/>
                <w:sz w:val="16"/>
              </w:rPr>
              <w:t>2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8" w:space="0" w:color="000000"/>
            </w:tcBorders>
            <w:vAlign w:val="center"/>
          </w:tcPr>
          <w:p>
            <w:pPr>
              <w:pStyle w:val="TableContents"/>
              <w:bidi w:val="0"/>
              <w:spacing w:before="0" w:after="283"/>
              <w:jc w:val="center"/>
              <w:rPr>
                <w:b/>
                <w:sz w:val="16"/>
              </w:rPr>
            </w:pPr>
            <w:r>
              <w:rPr>
                <w:b/>
                <w:sz w:val="16"/>
              </w:rPr>
              <w:t>3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bottom w:val="single" w:sz="8" w:space="0" w:color="000000"/>
            </w:tcBorders>
            <w:vAlign w:val="center"/>
          </w:tcPr>
          <w:p>
            <w:pPr>
              <w:pStyle w:val="TableContents"/>
              <w:bidi w:val="0"/>
              <w:spacing w:before="0" w:after="283"/>
              <w:jc w:val="center"/>
              <w:rPr>
                <w:b/>
                <w:sz w:val="16"/>
              </w:rPr>
            </w:pPr>
            <w:r>
              <w:rPr>
                <w:b/>
                <w:sz w:val="16"/>
              </w:rPr>
              <w:t>Abstain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8" w:space="0" w:color="000000"/>
            </w:tcBorders>
            <w:vAlign w:val="center"/>
          </w:tcPr>
          <w:p>
            <w:pPr>
              <w:pStyle w:val="TableContents"/>
              <w:bidi w:val="0"/>
              <w:spacing w:before="0" w:after="283"/>
              <w:jc w:val="center"/>
              <w:rPr>
                <w:b/>
                <w:sz w:val="16"/>
              </w:rPr>
            </w:pPr>
            <w:r>
              <w:rPr>
                <w:b/>
                <w:sz w:val="16"/>
              </w:rPr>
              <w:t>Broker Non-Votes</w:t>
            </w:r>
          </w:p>
        </w:tc>
        <w:tc>
          <w:tcPr>
            <w:tcW w:w="75" w:type="dxa"/>
            <w:tcBorders/>
            <w:tcMar>
              <w:bottom w:w="0" w:type="dxa"/>
            </w:tcMar>
            <w:vAlign w:val="center"/>
          </w:tcPr>
          <w:p>
            <w:pPr>
              <w:pStyle w:val="TableContents"/>
              <w:bidi w:val="0"/>
              <w:spacing w:before="0" w:after="283"/>
              <w:jc w:val="left"/>
              <w:rPr/>
            </w:pPr>
            <w:r>
              <w:rPr/>
              <w:t> </w:t>
            </w:r>
          </w:p>
        </w:tc>
      </w:tr>
      <w:tr>
        <w:trPr/>
        <w:tc>
          <w:tcPr>
            <w:tcW w:w="111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center"/>
              <w:rPr/>
            </w:pPr>
            <w:r>
              <w:rPr/>
              <w:t>24,918,766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0" w:type="dxa"/>
            <w:tcBorders/>
            <w:shd w:fill="CCEEFF" w:val="clear"/>
            <w:tcMar>
              <w:bottom w:w="0" w:type="dxa"/>
            </w:tcMar>
            <w:vAlign w:val="center"/>
          </w:tcPr>
          <w:p>
            <w:pPr>
              <w:pStyle w:val="TableContents"/>
              <w:bidi w:val="0"/>
              <w:spacing w:before="0" w:after="283"/>
              <w:jc w:val="center"/>
              <w:rPr/>
            </w:pPr>
            <w:r>
              <w:rPr/>
              <w:t>21,446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00" w:type="dxa"/>
            <w:tcBorders/>
            <w:shd w:fill="CCEEFF" w:val="clear"/>
            <w:tcMar>
              <w:bottom w:w="0" w:type="dxa"/>
            </w:tcMar>
            <w:vAlign w:val="center"/>
          </w:tcPr>
          <w:p>
            <w:pPr>
              <w:pStyle w:val="TableContents"/>
              <w:bidi w:val="0"/>
              <w:spacing w:before="0" w:after="283"/>
              <w:jc w:val="center"/>
              <w:rPr/>
            </w:pPr>
            <w:r>
              <w:rPr/>
              <w:t>590,788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0" w:type="dxa"/>
            <w:tcBorders/>
            <w:shd w:fill="CCEEFF" w:val="clear"/>
            <w:tcMar>
              <w:bottom w:w="0" w:type="dxa"/>
            </w:tcMar>
            <w:vAlign w:val="center"/>
          </w:tcPr>
          <w:p>
            <w:pPr>
              <w:pStyle w:val="TableContents"/>
              <w:bidi w:val="0"/>
              <w:spacing w:before="0" w:after="283"/>
              <w:jc w:val="center"/>
              <w:rPr/>
            </w:pPr>
            <w:r>
              <w:rPr/>
              <w:t>44,715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pPr>
            <w:r>
              <w:rPr/>
              <w:t>49,666,722</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voting results on the Say-on-Frequency Proposal, the Company determined that, subject to the Company continuing to be subject to any applicable requirement to have such a vote, the Company will hold an advisory vote on the compensation of the Company’s named executive officers annually and will continue to hold advisory votes on the compensation of the Company’s named executive officers annually until the next required vote on the frequency of advisory votes on the compensation of the Company’s named executive officers</w:t>
      </w:r>
    </w:p>
    <w:p>
      <w:pPr>
        <w:pStyle w:val="TextBody"/>
        <w:bidi w:val="0"/>
        <w:spacing w:before="0" w:after="2"/>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jc w:val="center"/>
        <w:rPr>
          <w:caps w:val="false"/>
          <w:smallCaps w:val="false"/>
        </w:rPr>
      </w:pPr>
      <w:r>
        <w:rPr>
          <w:caps w:val="false"/>
          <w:smallCaps w:val="false"/>
        </w:rPr>
        <w:t> </w:t>
      </w:r>
      <w:r>
        <w:rPr>
          <w:rFonts w:ascii="Times New Roman;Times;Serif" w:hAnsi="Times New Roman;Times;Serif"/>
          <w:b/>
          <w:i w:val="false"/>
          <w:caps w:val="false"/>
          <w:smallCaps w:val="false"/>
          <w:sz w:val="20"/>
        </w:rPr>
        <w:t>SIGNATURE</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6084" w:type="dxa"/>
        <w:jc w:val="left"/>
        <w:tblInd w:w="0" w:type="dxa"/>
        <w:tblLayout w:type="fixed"/>
        <w:tblCellMar>
          <w:top w:w="0" w:type="dxa"/>
          <w:left w:w="0" w:type="dxa"/>
          <w:bottom w:w="0" w:type="dxa"/>
          <w:right w:w="0" w:type="dxa"/>
        </w:tblCellMar>
      </w:tblPr>
      <w:tblGrid>
        <w:gridCol w:w="2045"/>
        <w:gridCol w:w="1229"/>
        <w:gridCol w:w="2810"/>
      </w:tblGrid>
      <w:tr>
        <w:trPr/>
        <w:tc>
          <w:tcPr>
            <w:tcW w:w="2045" w:type="dxa"/>
            <w:tcBorders/>
            <w:vAlign w:val="center"/>
          </w:tcPr>
          <w:p>
            <w:pPr>
              <w:pStyle w:val="TableContents"/>
              <w:bidi w:val="0"/>
              <w:spacing w:before="0" w:after="283"/>
              <w:jc w:val="left"/>
              <w:rPr/>
            </w:pPr>
            <w:r>
              <w:rPr/>
              <w:t>Dated: June 18, 2026</w:t>
            </w:r>
          </w:p>
        </w:tc>
        <w:tc>
          <w:tcPr>
            <w:tcW w:w="4039" w:type="dxa"/>
            <w:gridSpan w:val="2"/>
            <w:tcBorders/>
            <w:vAlign w:val="center"/>
          </w:tcPr>
          <w:p>
            <w:pPr>
              <w:pStyle w:val="TableContents"/>
              <w:bidi w:val="0"/>
              <w:spacing w:before="0" w:after="283"/>
              <w:jc w:val="left"/>
              <w:rPr>
                <w:b/>
              </w:rPr>
            </w:pPr>
            <w:r>
              <w:rPr>
                <w:b/>
              </w:rPr>
              <w:t>THE ONCOLOGY INSTITUTE, INC.</w:t>
            </w:r>
          </w:p>
        </w:tc>
      </w:tr>
      <w:tr>
        <w:trPr/>
        <w:tc>
          <w:tcPr>
            <w:tcW w:w="2045" w:type="dxa"/>
            <w:tcBorders/>
            <w:vAlign w:val="center"/>
          </w:tcPr>
          <w:p>
            <w:pPr>
              <w:pStyle w:val="TableContents"/>
              <w:bidi w:val="0"/>
              <w:spacing w:before="0" w:after="283"/>
              <w:jc w:val="left"/>
              <w:rPr/>
            </w:pPr>
            <w:r>
              <w:rPr/>
              <w:t> </w:t>
            </w:r>
          </w:p>
        </w:tc>
        <w:tc>
          <w:tcPr>
            <w:tcW w:w="4039" w:type="dxa"/>
            <w:gridSpan w:val="2"/>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left"/>
              <w:rPr/>
            </w:pPr>
            <w:r>
              <w:rPr/>
              <w:t>By:</w:t>
            </w:r>
          </w:p>
        </w:tc>
        <w:tc>
          <w:tcPr>
            <w:tcW w:w="2810" w:type="dxa"/>
            <w:tcBorders>
              <w:bottom w:val="single" w:sz="8" w:space="0" w:color="000000"/>
            </w:tcBorders>
            <w:tcMar>
              <w:bottom w:w="28" w:type="dxa"/>
            </w:tcMar>
            <w:vAlign w:val="center"/>
          </w:tcPr>
          <w:p>
            <w:pPr>
              <w:pStyle w:val="TableContents"/>
              <w:bidi w:val="0"/>
              <w:spacing w:before="0" w:after="283"/>
              <w:jc w:val="left"/>
              <w:rPr/>
            </w:pPr>
            <w:r>
              <w:rPr/>
              <w:t>/s/ Minh Merchant</w:t>
            </w:r>
          </w:p>
        </w:tc>
      </w:tr>
      <w:tr>
        <w:trPr/>
        <w:tc>
          <w:tcPr>
            <w:tcW w:w="2045"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left"/>
              <w:rPr/>
            </w:pPr>
            <w:r>
              <w:rPr/>
              <w:t>Name:  </w:t>
            </w:r>
          </w:p>
        </w:tc>
        <w:tc>
          <w:tcPr>
            <w:tcW w:w="28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Minh Merchant</w:t>
            </w:r>
          </w:p>
        </w:tc>
      </w:tr>
      <w:tr>
        <w:trPr/>
        <w:tc>
          <w:tcPr>
            <w:tcW w:w="2045"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left"/>
              <w:rPr/>
            </w:pPr>
            <w:r>
              <w:rPr/>
              <w:t>Title:</w:t>
            </w:r>
          </w:p>
        </w:tc>
        <w:tc>
          <w:tcPr>
            <w:tcW w:w="28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Legal Officer</w:t>
            </w:r>
          </w:p>
        </w:tc>
      </w:tr>
    </w:tbl>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12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840</Words>
  <Characters>4887</Characters>
  <CharactersWithSpaces>5833</CharactersWithSpaces>
  <Paragraphs>353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