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621086_4-dfp.xml.htm"/>
      <w:bookmarkStart w:id="1" w:name="kse621086_4df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143"/>
        <w:gridCol w:w="1930"/>
        <w:gridCol w:w="6099"/>
        <w:gridCol w:w="2033"/>
      </w:tblGrid>
      <w:tr>
        <w:trPr/>
        <w:tc>
          <w:tcPr>
            <w:tcW w:w="2073"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3"/>
                    <w:gridCol w:w="684"/>
                  </w:tblGrid>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1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pPr>
            <w:r>
              <w:rPr/>
            </w:r>
          </w:p>
        </w:tc>
      </w:tr>
      <w:tr>
        <w:trPr/>
        <w:tc>
          <w:tcPr>
            <w:tcW w:w="14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shd w:fill="auto" w:val="clear"/>
            <w:vAlign w:val="center"/>
          </w:tcPr>
          <w:p>
            <w:pPr>
              <w:pStyle w:val="Normal"/>
              <w:rPr/>
            </w:pPr>
            <w:r>
              <w:rPr/>
            </w:r>
          </w:p>
        </w:tc>
        <w:tc>
          <w:tcPr>
            <w:tcW w:w="2033"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2">
                    <w:r>
                      <w:rPr>
                        <w:rStyle w:val="InternetLink"/>
                      </w:rPr>
                      <w:t>Flynn James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345 PARK AVENUE SOUTH, 12TH FLOOR</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Oncology Institute, Inc.</w:t>
              </w:r>
            </w:hyperlink>
            <w:r>
              <w:rPr/>
              <w:t xml:space="preserve"> [ </w:t>
            </w:r>
            <w:r>
              <w:rPr>
                <w:rFonts w:ascii="Times;serif" w:hAnsi="Times;serif"/>
                <w:color w:val="0000FF"/>
                <w:sz w:val="24"/>
                <w:highlight w:val="white"/>
              </w:rPr>
              <w:t>DFPH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Possible Members of 10% Group</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948"/>
        <w:gridCol w:w="935"/>
        <w:gridCol w:w="803"/>
        <w:gridCol w:w="621"/>
        <w:gridCol w:w="343"/>
        <w:gridCol w:w="917"/>
        <w:gridCol w:w="420"/>
        <w:gridCol w:w="590"/>
        <w:gridCol w:w="1262"/>
        <w:gridCol w:w="973"/>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3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9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94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11/12/2021</w:t>
            </w:r>
          </w:p>
        </w:tc>
        <w:tc>
          <w:tcPr>
            <w:tcW w:w="8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w:t>
            </w:r>
            <w:r>
              <w:rPr/>
              <w:t xml:space="preserve"> </w:t>
            </w:r>
          </w:p>
        </w:tc>
        <w:tc>
          <w:tcPr>
            <w:tcW w:w="34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5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w:t>
            </w:r>
          </w:p>
        </w:tc>
        <w:tc>
          <w:tcPr>
            <w:tcW w:w="9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Through DFP Sponsor, LLC</w:t>
            </w:r>
            <w:r>
              <w:rPr>
                <w:rFonts w:ascii="Times;serif" w:hAnsi="Times;serif"/>
                <w:color w:val="008000"/>
                <w:position w:val="7"/>
                <w:sz w:val="16"/>
                <w:sz w:val="20"/>
                <w:highlight w:val="white"/>
              </w:rPr>
              <w:t>(2)(3)</w:t>
            </w:r>
            <w:r>
              <w:rPr/>
              <w:t xml:space="preserve"> </w:t>
            </w:r>
          </w:p>
        </w:tc>
      </w:tr>
      <w:tr>
        <w:trPr/>
        <w:tc>
          <w:tcPr>
            <w:tcW w:w="194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11/12/2021</w:t>
            </w:r>
          </w:p>
        </w:tc>
        <w:tc>
          <w:tcPr>
            <w:tcW w:w="8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w:t>
            </w:r>
            <w:r>
              <w:rPr/>
              <w:t xml:space="preserve"> </w:t>
            </w:r>
          </w:p>
        </w:tc>
        <w:tc>
          <w:tcPr>
            <w:tcW w:w="34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85,113</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5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85,113</w:t>
            </w:r>
          </w:p>
        </w:tc>
        <w:tc>
          <w:tcPr>
            <w:tcW w:w="9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Through Deerfield Management Company, L.P.</w:t>
            </w:r>
            <w:r>
              <w:rPr>
                <w:rFonts w:ascii="Times;serif" w:hAnsi="Times;serif"/>
                <w:color w:val="008000"/>
                <w:position w:val="7"/>
                <w:sz w:val="16"/>
                <w:sz w:val="20"/>
                <w:highlight w:val="white"/>
              </w:rPr>
              <w:t>(2)(3)(4)</w:t>
            </w:r>
            <w:r>
              <w:rPr/>
              <w:t xml:space="preserve"> </w:t>
            </w:r>
          </w:p>
        </w:tc>
      </w:tr>
      <w:tr>
        <w:trPr/>
        <w:tc>
          <w:tcPr>
            <w:tcW w:w="194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1,605,477</w:t>
            </w:r>
          </w:p>
        </w:tc>
        <w:tc>
          <w:tcPr>
            <w:tcW w:w="9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Through Deerfield Partners, L.P.</w:t>
            </w:r>
            <w:r>
              <w:rPr>
                <w:rFonts w:ascii="Times;serif" w:hAnsi="Times;serif"/>
                <w:color w:val="008000"/>
                <w:position w:val="7"/>
                <w:sz w:val="16"/>
                <w:sz w:val="20"/>
                <w:highlight w:val="white"/>
              </w:rPr>
              <w:t>(2)(3)</w:t>
            </w:r>
            <w:r>
              <w:rPr/>
              <w:t xml:space="preserve"> </w:t>
            </w:r>
          </w:p>
        </w:tc>
      </w:tr>
      <w:tr>
        <w:trPr/>
        <w:tc>
          <w:tcPr>
            <w:tcW w:w="194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3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1,605,477</w:t>
            </w:r>
          </w:p>
        </w:tc>
        <w:tc>
          <w:tcPr>
            <w:tcW w:w="9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Through Deerfield Private Design Fund IV, L.P.</w:t>
            </w:r>
            <w:r>
              <w:rPr>
                <w:rFonts w:ascii="Times;serif" w:hAnsi="Times;serif"/>
                <w:color w:val="008000"/>
                <w:position w:val="7"/>
                <w:sz w:val="16"/>
                <w:sz w:val="20"/>
                <w:highlight w:val="white"/>
              </w:rPr>
              <w:t>(2)(3)</w:t>
            </w:r>
            <w:r>
              <w:rPr/>
              <w:t xml:space="preserve"> </w:t>
            </w:r>
          </w:p>
        </w:tc>
      </w:tr>
    </w:tbl>
    <w:tbl>
      <w:tblPr>
        <w:tblW w:w="13964" w:type="dxa"/>
        <w:jc w:val="left"/>
        <w:tblInd w:w="0" w:type="dxa"/>
        <w:tblCellMar>
          <w:top w:w="60" w:type="dxa"/>
          <w:left w:w="60" w:type="dxa"/>
          <w:bottom w:w="60" w:type="dxa"/>
          <w:right w:w="60" w:type="dxa"/>
        </w:tblCellMar>
      </w:tblPr>
      <w:tblGrid>
        <w:gridCol w:w="1130"/>
        <w:gridCol w:w="861"/>
        <w:gridCol w:w="891"/>
        <w:gridCol w:w="771"/>
        <w:gridCol w:w="591"/>
        <w:gridCol w:w="300"/>
        <w:gridCol w:w="966"/>
        <w:gridCol w:w="816"/>
        <w:gridCol w:w="906"/>
        <w:gridCol w:w="801"/>
        <w:gridCol w:w="891"/>
        <w:gridCol w:w="1161"/>
        <w:gridCol w:w="801"/>
        <w:gridCol w:w="1026"/>
        <w:gridCol w:w="831"/>
        <w:gridCol w:w="1221"/>
      </w:tblGrid>
      <w:tr>
        <w:trPr>
          <w:tblHeader w:val="true"/>
        </w:trPr>
        <w:tc>
          <w:tcPr>
            <w:tcW w:w="1396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7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2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A Common Stock Equivalent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50,000</w:t>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1,000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58,945</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Deerfield Partners, L.P.</w:t>
            </w:r>
            <w:r>
              <w:rPr>
                <w:rFonts w:ascii="Times;serif" w:hAnsi="Times;serif"/>
                <w:color w:val="008000"/>
                <w:position w:val="7"/>
                <w:sz w:val="16"/>
                <w:sz w:val="20"/>
                <w:highlight w:val="white"/>
              </w:rPr>
              <w:t>(2)(3)</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A Common Stock Equivalent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50,000</w:t>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1,000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58,945</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Deerfield Private Design Fund IV, L.P.</w:t>
            </w:r>
            <w:r>
              <w:rPr>
                <w:rFonts w:ascii="Times;serif" w:hAnsi="Times;serif"/>
                <w:color w:val="008000"/>
                <w:position w:val="7"/>
                <w:sz w:val="16"/>
                <w:sz w:val="20"/>
                <w:highlight w:val="white"/>
              </w:rPr>
              <w:t>(2)(3)</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A Common Stock Equivalent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4,562,000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45,620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DFP Sponsor, LLC</w:t>
            </w:r>
            <w:r>
              <w:rPr>
                <w:rFonts w:ascii="Times;serif" w:hAnsi="Times;serif"/>
                <w:color w:val="008000"/>
                <w:position w:val="7"/>
                <w:sz w:val="16"/>
                <w:sz w:val="20"/>
                <w:highlight w:val="white"/>
              </w:rPr>
              <w:t>(2)(3)</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(7)</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707,960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707,960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DFP Sponsor, LLC</w:t>
            </w:r>
            <w:r>
              <w:rPr>
                <w:rFonts w:ascii="Times;serif" w:hAnsi="Times;serif"/>
                <w:color w:val="008000"/>
                <w:position w:val="7"/>
                <w:sz w:val="16"/>
                <w:sz w:val="20"/>
                <w:highlight w:val="white"/>
              </w:rPr>
              <w:t>(2)(3)</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(7)</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14,887</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14,887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85,113</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Deerfield Management Company, L.P.</w:t>
            </w:r>
            <w:r>
              <w:rPr>
                <w:rFonts w:ascii="Times;serif" w:hAnsi="Times;serif"/>
                <w:color w:val="008000"/>
                <w:position w:val="7"/>
                <w:sz w:val="16"/>
                <w:sz w:val="20"/>
                <w:highlight w:val="white"/>
              </w:rPr>
              <w:t>(2)(3)(4)</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DFP Sponsor, LLC</w:t>
            </w:r>
            <w:r>
              <w:rPr>
                <w:rFonts w:ascii="Times;serif" w:hAnsi="Times;serif"/>
                <w:color w:val="008000"/>
                <w:position w:val="7"/>
                <w:sz w:val="16"/>
                <w:sz w:val="20"/>
                <w:highlight w:val="white"/>
              </w:rPr>
              <w:t>(2)(3)</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85,113</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85,113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Deerfield Management Company, L.P.</w:t>
            </w:r>
            <w:r>
              <w:rPr>
                <w:rFonts w:ascii="Times;serif" w:hAnsi="Times;serif"/>
                <w:color w:val="008000"/>
                <w:position w:val="7"/>
                <w:sz w:val="16"/>
                <w:sz w:val="20"/>
                <w:highlight w:val="white"/>
              </w:rPr>
              <w:t>(2)(3)(4)</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Private Placement Warrants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11.5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(8)</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3,177,543</w:t>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12/12/2021</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11/12/2026</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3,177,543</w:t>
            </w:r>
            <w:r>
              <w:rPr>
                <w:rFonts w:ascii="Times;serif" w:hAnsi="Times;serif"/>
                <w:color w:val="008000"/>
                <w:position w:val="7"/>
                <w:sz w:val="16"/>
                <w:sz w:val="20"/>
                <w:highlight w:val="white"/>
              </w:rPr>
              <w:t>(8)</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(8)</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3,177,543</w:t>
            </w:r>
            <w:r>
              <w:rPr>
                <w:rFonts w:ascii="Times;serif" w:hAnsi="Times;serif"/>
                <w:color w:val="008000"/>
                <w:position w:val="7"/>
                <w:sz w:val="16"/>
                <w:sz w:val="20"/>
                <w:highlight w:val="white"/>
              </w:rPr>
              <w:t>(8)</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DFP Sponsor, LLC</w:t>
            </w:r>
            <w:r>
              <w:rPr>
                <w:rFonts w:ascii="Times;serif" w:hAnsi="Times;serif"/>
                <w:color w:val="008000"/>
                <w:position w:val="7"/>
                <w:sz w:val="16"/>
                <w:sz w:val="20"/>
                <w:highlight w:val="white"/>
              </w:rPr>
              <w:t>(2)(3)</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Public Warrants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11.5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(9)</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625,000</w:t>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12/12/2021</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11/12/2026</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625,000</w:t>
            </w:r>
            <w:r>
              <w:rPr>
                <w:rFonts w:ascii="Times;serif" w:hAnsi="Times;serif"/>
                <w:color w:val="008000"/>
                <w:position w:val="7"/>
                <w:sz w:val="16"/>
                <w:sz w:val="20"/>
                <w:highlight w:val="white"/>
              </w:rPr>
              <w:t>(9)</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(9)</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625,000</w:t>
            </w:r>
            <w:r>
              <w:rPr>
                <w:rFonts w:ascii="Times;serif" w:hAnsi="Times;serif"/>
                <w:color w:val="008000"/>
                <w:position w:val="7"/>
                <w:sz w:val="16"/>
                <w:sz w:val="20"/>
                <w:highlight w:val="white"/>
              </w:rPr>
              <w:t>(9)</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Deerfield Partners, L.P.</w:t>
            </w:r>
            <w:r>
              <w:rPr>
                <w:rFonts w:ascii="Times;serif" w:hAnsi="Times;serif"/>
                <w:color w:val="008000"/>
                <w:position w:val="7"/>
                <w:sz w:val="16"/>
                <w:sz w:val="20"/>
                <w:highlight w:val="white"/>
              </w:rPr>
              <w:t>(2)(3)</w:t>
            </w:r>
            <w:r>
              <w:rPr/>
              <w:t xml:space="preserve"> </w:t>
            </w:r>
          </w:p>
        </w:tc>
      </w:tr>
      <w:tr>
        <w:trPr/>
        <w:tc>
          <w:tcPr>
            <w:tcW w:w="113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Public Warrants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11.5</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(9)</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625,000</w:t>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12/12/2021</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11/12/2026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625,000</w:t>
            </w:r>
            <w:r>
              <w:rPr>
                <w:rFonts w:ascii="Times;serif" w:hAnsi="Times;serif"/>
                <w:color w:val="008000"/>
                <w:position w:val="7"/>
                <w:sz w:val="16"/>
                <w:sz w:val="20"/>
                <w:highlight w:val="white"/>
              </w:rPr>
              <w:t>(9)</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(9)</w:t>
            </w:r>
          </w:p>
        </w:tc>
        <w:tc>
          <w:tcPr>
            <w:tcW w:w="10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625,000</w:t>
            </w:r>
            <w:r>
              <w:rPr>
                <w:rFonts w:ascii="Times;serif" w:hAnsi="Times;serif"/>
                <w:color w:val="008000"/>
                <w:position w:val="7"/>
                <w:sz w:val="16"/>
                <w:sz w:val="20"/>
                <w:highlight w:val="white"/>
              </w:rPr>
              <w:t>(9)</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2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Through Deerfield Private Design Fund IV, L.P.</w:t>
            </w:r>
            <w:r>
              <w:rPr>
                <w:rFonts w:ascii="Times;serif" w:hAnsi="Times;serif"/>
                <w:color w:val="008000"/>
                <w:position w:val="7"/>
                <w:sz w:val="16"/>
                <w:sz w:val="20"/>
                <w:highlight w:val="white"/>
              </w:rPr>
              <w:t>(2)(3)</w:t>
            </w:r>
            <w:r>
              <w:rPr/>
              <w:t xml:space="preserve"> </w:t>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4">
                    <w:r>
                      <w:rPr>
                        <w:rStyle w:val="InternetLink"/>
                      </w:rPr>
                      <w:t>Flynn James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345 PARK AVENUE SOUTH, 12TH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Deerfield Mgmt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345 PARK AVENUE SOUTH, 12TH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DEERFIELD PARTNERS,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345 PARK AVENUE SOUTH, 12TH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DEERFIELD MANAGEMENT COMPANY, L.P. (SERIES 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345 PARK AVENUE SOUTH, 12TH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Deerfield Mgmt IV,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345 PARK AVENUE SOUTH, 12TH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Deerfield Private Design Fund IV,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345 PARK AVENUE SOUTH, 12TH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Upon the closing of the Issuer's initial business combination, each share of Class B Common Stock converted (automatically in accordance with its terms) into one share of Class A Common Stock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Form 4 is being filed by the undersigned as well as the entities listed on the Joint Filer Information Statement attached as an exhibit hereto (the "Reporting Persons"). Deerfield Mgmt, L.P. is the general partner of Deerfield Partners, L.P. ("Deerfield Partners"). Deerfield Mgmt IV, L.P. is the general partner of Deerfield Private Design Fund IV, L.P. ("Fund IV" and, together with Deerfield Partners, the "Funds"). Deerfield Management Company, L.P. ("Deerfield Management") is the investment manager of the Funds. James E. Flynn is the sole member of the general partner of each of Deerfield Mgmt IV, L.P., Deerfield Mgmt, L.P. and Deerfield Management Company, L.P. Each Fund holds a 37% membership interest in DFP Sponsor, LLC (the "Sponsor").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 accordance with Instruction 4(b)(iv) to Form 4, the entire amount of the Issuer's securities held by the Funds, the Sponsor and Deerfield Management is reported herein.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Steven Hochberg, a partner in Deerfield Management, served as a director and the chief executive officer of the Issuer until his resignation from such positions on November 12, 2021 (prior to the vote of the Issuer's stockholders in respect of the consummation of the Issuer's initial business combination and prior to the transactions reported herein). The Class A Common Stock owned by Steven Hochberg and reported herein is held for the benefit, and at the direction, of Deerfield Management.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Each share of Series A Common Stock Equivalent Convertible Preferred Stock ("Common Equivalent Preferred Stock") is convertible into 100 shares of Class A Common Stock (subject to adjustment) at any time and from time to time at the election of the holder thereof. The Common Equivalent Preferred Stock has no expiration date. The terms of the Common Equivalent Preferred Stock restrict the conversion of such shares to the extent that, upon such conversion, the number of shares of Class A Common Stock then beneficially owned by the holder and its affiliates and any other person or entities with which such holder would constitute a Section 13(d) "group" would exceed 4.9% of the total number of shares of Class A Common Stock then outstanding.</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shares of Class B Common Stock were convertible into shares of the Issuer's Class A Common Stock as described under the heading "Description of Securities" in the Issuer's Registration Statement on Form S-1 (File No. 333-236578) and had no expiration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In connection with, and immediately prior to, the closing of the Issuer's initial business combination, pursuant to the Stockholder Support Agreement, dated as of June 28, 2021, DFP Sponsor, LLC (the "Sponsor") forfeited 707,960 shares of Class B Common Stock and Steven Hochberg forfeited 14,887 shares of Class B Common Stock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The Sponsor acquired the Private Placement Warrants from the Issuer in connection with the Issuer's initial public offering on March 13, 2020. As a result of the closing of the Business Combination, the Private Placement Warrants will become exercisable as of the date that is 30 days after the closing of the Issuer's initial business combination (i.e., November 12, 2021). The Private Placement Warrants will expire on November 12, 2026 or earlier upon redemption or liquidation. Prior to the closing of the Issuer's initial business combination, the Sponsor elected to be governed by a Maximum Percentage (as defined in the Private Placement Warrants) of 4.9%.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Each Fund acquired the Public Warrants from the Issuer in connection with the Issuer's initial public offering on March 13, 2020. As a result of the closing of the Issuer's initial business combination, the Public Warrants will become exercisable as of the date that is 30 days after the closing of the Issuer's initial business combination (i.e., November 12, 2021). The Public Warrants will expire on November 12, 2026 or earlier upon redemption or liquidation. Prior to the closing of the Issuer's initial business combination, each fund elected to be governed by a Maximum Percentage (as defined in the Public Warrants) of 4.9%.</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Jonathan Isler, Attorney-in-Fact: Power of Attorney, which is hereby incorporated by reference to Exhibit 24 to a Form 4 with regard to DA32 Life Science Tech Acquisition Corp. filed with the Securities and Exchange Commission on August 3, 2021 by Deerfield Partners, L.P., Deerfield Mgmt, L.P., Deerfield Management Company, L.P. and James E. Flynn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Isler,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rPr/>
      </w:pPr>
      <w:r>
        <w:br w:type="page"/>
      </w:r>
      <w:bookmarkStart w:id="2" w:name="e621086_ex99.htm"/>
      <w:bookmarkStart w:id="3" w:name="kse621086_ex99"/>
      <w:bookmarkEnd w:id="2"/>
      <w:bookmarkEnd w:id="3"/>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30"/>
        <w:gridCol w:w="7975"/>
      </w:tblGrid>
      <w:tr>
        <w:trPr/>
        <w:tc>
          <w:tcPr>
            <w:tcW w:w="2230" w:type="dxa"/>
            <w:tcBorders/>
            <w:shd w:fill="auto" w:val="clear"/>
            <w:vAlign w:val="center"/>
          </w:tcPr>
          <w:p>
            <w:pPr>
              <w:pStyle w:val="TableContents"/>
              <w:spacing w:before="0" w:after="283"/>
              <w:rPr/>
            </w:pPr>
            <w:r>
              <w:rPr/>
              <w:t>Name:</w:t>
            </w:r>
          </w:p>
        </w:tc>
        <w:tc>
          <w:tcPr>
            <w:tcW w:w="7975" w:type="dxa"/>
            <w:tcBorders/>
            <w:shd w:fill="auto" w:val="clear"/>
            <w:vAlign w:val="center"/>
          </w:tcPr>
          <w:p>
            <w:pPr>
              <w:pStyle w:val="TableContents"/>
              <w:spacing w:before="0" w:after="283"/>
              <w:rPr/>
            </w:pPr>
            <w:r>
              <w:rPr/>
              <w:t>Deerfield Mgmt IV, L.P., Deerfield Mgmt, L.P., Deerfield Management Company, L.P., Deerfield Private Design Fund IV, L.P., and Deerfield Partners, L.P.</w:t>
            </w:r>
          </w:p>
        </w:tc>
      </w:tr>
      <w:tr>
        <w:trPr/>
        <w:tc>
          <w:tcPr>
            <w:tcW w:w="2230" w:type="dxa"/>
            <w:tcBorders/>
            <w:shd w:fill="auto" w:val="clear"/>
            <w:vAlign w:val="center"/>
          </w:tcPr>
          <w:p>
            <w:pPr>
              <w:pStyle w:val="TableContents"/>
              <w:spacing w:before="0" w:after="283"/>
              <w:rPr/>
            </w:pPr>
            <w:r>
              <w:rPr/>
              <w:t> </w:t>
            </w:r>
          </w:p>
        </w:tc>
        <w:tc>
          <w:tcPr>
            <w:tcW w:w="7975" w:type="dxa"/>
            <w:tcBorders/>
            <w:shd w:fill="auto" w:val="clear"/>
            <w:vAlign w:val="center"/>
          </w:tcPr>
          <w:p>
            <w:pPr>
              <w:pStyle w:val="TableContents"/>
              <w:spacing w:before="0" w:after="283"/>
              <w:rPr/>
            </w:pPr>
            <w:r>
              <w:rPr/>
              <w:t> </w:t>
            </w:r>
          </w:p>
        </w:tc>
      </w:tr>
      <w:tr>
        <w:trPr/>
        <w:tc>
          <w:tcPr>
            <w:tcW w:w="2230" w:type="dxa"/>
            <w:tcBorders/>
            <w:shd w:fill="auto" w:val="clear"/>
            <w:vAlign w:val="center"/>
          </w:tcPr>
          <w:p>
            <w:pPr>
              <w:pStyle w:val="TableContents"/>
              <w:spacing w:before="0" w:after="283"/>
              <w:rPr/>
            </w:pPr>
            <w:r>
              <w:rPr/>
              <w:t>Address:</w:t>
            </w:r>
          </w:p>
        </w:tc>
        <w:tc>
          <w:tcPr>
            <w:tcW w:w="7975" w:type="dxa"/>
            <w:tcBorders/>
            <w:shd w:fill="auto" w:val="clear"/>
            <w:vAlign w:val="center"/>
          </w:tcPr>
          <w:p>
            <w:pPr>
              <w:pStyle w:val="TableContents"/>
              <w:rPr/>
            </w:pPr>
            <w:r>
              <w:rPr/>
              <w:t>345 Park Avenue South, 12th Floor</w:t>
            </w:r>
          </w:p>
          <w:p>
            <w:pPr>
              <w:pStyle w:val="TableContents"/>
              <w:spacing w:before="0" w:after="283"/>
              <w:rPr/>
            </w:pPr>
            <w:r>
              <w:rPr/>
              <w:t>New York, NY 10010</w:t>
            </w:r>
          </w:p>
        </w:tc>
      </w:tr>
      <w:tr>
        <w:trPr/>
        <w:tc>
          <w:tcPr>
            <w:tcW w:w="2230" w:type="dxa"/>
            <w:tcBorders/>
            <w:shd w:fill="auto" w:val="clear"/>
            <w:vAlign w:val="center"/>
          </w:tcPr>
          <w:p>
            <w:pPr>
              <w:pStyle w:val="TableContents"/>
              <w:spacing w:before="0" w:after="283"/>
              <w:rPr/>
            </w:pPr>
            <w:r>
              <w:rPr/>
              <w:t> </w:t>
            </w:r>
          </w:p>
        </w:tc>
        <w:tc>
          <w:tcPr>
            <w:tcW w:w="7975" w:type="dxa"/>
            <w:tcBorders/>
            <w:shd w:fill="auto" w:val="clear"/>
            <w:vAlign w:val="center"/>
          </w:tcPr>
          <w:p>
            <w:pPr>
              <w:pStyle w:val="TableContents"/>
              <w:spacing w:before="0" w:after="283"/>
              <w:rPr/>
            </w:pPr>
            <w:r>
              <w:rPr/>
              <w:t> </w:t>
            </w:r>
          </w:p>
        </w:tc>
      </w:tr>
      <w:tr>
        <w:trPr/>
        <w:tc>
          <w:tcPr>
            <w:tcW w:w="2230" w:type="dxa"/>
            <w:tcBorders/>
            <w:shd w:fill="auto" w:val="clear"/>
            <w:vAlign w:val="center"/>
          </w:tcPr>
          <w:p>
            <w:pPr>
              <w:pStyle w:val="TableContents"/>
              <w:spacing w:before="0" w:after="283"/>
              <w:rPr/>
            </w:pPr>
            <w:r>
              <w:rPr/>
              <w:t>Designated Filer:</w:t>
            </w:r>
          </w:p>
        </w:tc>
        <w:tc>
          <w:tcPr>
            <w:tcW w:w="7975" w:type="dxa"/>
            <w:tcBorders/>
            <w:shd w:fill="auto" w:val="clear"/>
            <w:vAlign w:val="center"/>
          </w:tcPr>
          <w:p>
            <w:pPr>
              <w:pStyle w:val="TableContents"/>
              <w:spacing w:before="0" w:after="283"/>
              <w:rPr/>
            </w:pPr>
            <w:r>
              <w:rPr/>
              <w:t>James E. Flynn</w:t>
            </w:r>
          </w:p>
        </w:tc>
      </w:tr>
      <w:tr>
        <w:trPr/>
        <w:tc>
          <w:tcPr>
            <w:tcW w:w="2230" w:type="dxa"/>
            <w:tcBorders/>
            <w:shd w:fill="auto" w:val="clear"/>
            <w:vAlign w:val="center"/>
          </w:tcPr>
          <w:p>
            <w:pPr>
              <w:pStyle w:val="TableContents"/>
              <w:spacing w:before="0" w:after="283"/>
              <w:rPr/>
            </w:pPr>
            <w:r>
              <w:rPr/>
              <w:t> </w:t>
            </w:r>
          </w:p>
        </w:tc>
        <w:tc>
          <w:tcPr>
            <w:tcW w:w="7975" w:type="dxa"/>
            <w:tcBorders/>
            <w:shd w:fill="auto" w:val="clear"/>
            <w:vAlign w:val="center"/>
          </w:tcPr>
          <w:p>
            <w:pPr>
              <w:pStyle w:val="TableContents"/>
              <w:spacing w:before="0" w:after="283"/>
              <w:rPr/>
            </w:pPr>
            <w:r>
              <w:rPr/>
              <w:t> </w:t>
            </w:r>
          </w:p>
        </w:tc>
      </w:tr>
      <w:tr>
        <w:trPr/>
        <w:tc>
          <w:tcPr>
            <w:tcW w:w="2230" w:type="dxa"/>
            <w:tcBorders/>
            <w:shd w:fill="auto" w:val="clear"/>
            <w:vAlign w:val="center"/>
          </w:tcPr>
          <w:p>
            <w:pPr>
              <w:pStyle w:val="TableContents"/>
              <w:spacing w:before="0" w:after="283"/>
              <w:rPr/>
            </w:pPr>
            <w:r>
              <w:rPr/>
              <w:t>Issuer and Ticker Symbol:</w:t>
            </w:r>
          </w:p>
        </w:tc>
        <w:tc>
          <w:tcPr>
            <w:tcW w:w="7975" w:type="dxa"/>
            <w:tcBorders/>
            <w:shd w:fill="auto" w:val="clear"/>
            <w:vAlign w:val="center"/>
          </w:tcPr>
          <w:p>
            <w:pPr>
              <w:pStyle w:val="TableContents"/>
              <w:spacing w:before="0" w:after="283"/>
              <w:rPr/>
            </w:pPr>
            <w:r>
              <w:rPr/>
              <w:t>DFP Healthcare Acquisitions Corp. [DFPH]</w:t>
            </w:r>
          </w:p>
        </w:tc>
      </w:tr>
      <w:tr>
        <w:trPr/>
        <w:tc>
          <w:tcPr>
            <w:tcW w:w="2230" w:type="dxa"/>
            <w:tcBorders/>
            <w:shd w:fill="auto" w:val="clear"/>
            <w:vAlign w:val="center"/>
          </w:tcPr>
          <w:p>
            <w:pPr>
              <w:pStyle w:val="TableContents"/>
              <w:spacing w:before="0" w:after="283"/>
              <w:rPr/>
            </w:pPr>
            <w:r>
              <w:rPr/>
              <w:t> </w:t>
            </w:r>
          </w:p>
        </w:tc>
        <w:tc>
          <w:tcPr>
            <w:tcW w:w="7975" w:type="dxa"/>
            <w:tcBorders/>
            <w:shd w:fill="auto" w:val="clear"/>
            <w:vAlign w:val="center"/>
          </w:tcPr>
          <w:p>
            <w:pPr>
              <w:pStyle w:val="TableContents"/>
              <w:spacing w:before="0" w:after="283"/>
              <w:rPr/>
            </w:pPr>
            <w:r>
              <w:rPr/>
              <w:t> </w:t>
            </w:r>
          </w:p>
        </w:tc>
      </w:tr>
      <w:tr>
        <w:trPr/>
        <w:tc>
          <w:tcPr>
            <w:tcW w:w="2230" w:type="dxa"/>
            <w:tcBorders/>
            <w:shd w:fill="auto" w:val="clear"/>
            <w:vAlign w:val="center"/>
          </w:tcPr>
          <w:p>
            <w:pPr>
              <w:pStyle w:val="TableContents"/>
              <w:spacing w:before="0" w:after="283"/>
              <w:rPr/>
            </w:pPr>
            <w:r>
              <w:rPr/>
              <w:t>Date of Event Requiring Statement:</w:t>
            </w:r>
          </w:p>
        </w:tc>
        <w:tc>
          <w:tcPr>
            <w:tcW w:w="7975" w:type="dxa"/>
            <w:tcBorders/>
            <w:shd w:fill="auto" w:val="clear"/>
            <w:vAlign w:val="center"/>
          </w:tcPr>
          <w:p>
            <w:pPr>
              <w:pStyle w:val="TableContents"/>
              <w:spacing w:before="0" w:after="283"/>
              <w:rPr/>
            </w:pPr>
            <w:r>
              <w:rPr/>
              <w:t>November 12, 2021</w:t>
            </w:r>
          </w:p>
        </w:tc>
      </w:tr>
    </w:tbl>
    <w:p>
      <w:pPr>
        <w:pStyle w:val="TextBody"/>
        <w:rPr/>
      </w:pPr>
      <w:r>
        <w:rPr/>
        <w:t> </w:t>
      </w:r>
    </w:p>
    <w:p>
      <w:pPr>
        <w:pStyle w:val="TextBody"/>
        <w:rPr/>
      </w:pPr>
      <w:r>
        <w:rPr/>
        <w:t>The undersigned, Deerfield Mgmt IV, L.P., Deerfield Mgmt, L.P., Deerfield Management Company, L.P., Deerfield Private Design Fund IV, L.P., and Deerfield Partners, L.P. are jointly filing the attached Statement of Changes in Beneficial Ownership on Form 4 with James E. Flynn with respect to the beneficial ownership of securities of DFP Healthcare Acquisitions Corp.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spacing w:before="0" w:after="0"/>
        <w:ind w:left="0" w:right="0" w:hanging="0"/>
        <w:jc w:val="both"/>
        <w:rPr>
          <w:caps w:val="false"/>
          <w:smallCaps w:val="false"/>
        </w:rPr>
      </w:pPr>
      <w:r>
        <w:rPr>
          <w:caps w:val="false"/>
          <w:smallCaps w:val="false"/>
        </w:rPr>
        <w:t> </w:t>
      </w:r>
    </w:p>
    <w:tbl>
      <w:tblPr>
        <w:tblW w:w="7810" w:type="dxa"/>
        <w:jc w:val="left"/>
        <w:tblInd w:w="0" w:type="dxa"/>
        <w:tblCellMar>
          <w:top w:w="0" w:type="dxa"/>
          <w:left w:w="0" w:type="dxa"/>
          <w:bottom w:w="0" w:type="dxa"/>
          <w:right w:w="0" w:type="dxa"/>
        </w:tblCellMar>
      </w:tblPr>
      <w:tblGrid>
        <w:gridCol w:w="3935"/>
        <w:gridCol w:w="3875"/>
      </w:tblGrid>
      <w:tr>
        <w:trPr/>
        <w:tc>
          <w:tcPr>
            <w:tcW w:w="393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LLC, General Partner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ableContents"/>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p>
            <w:pPr>
              <w:pStyle w:val="TableContents"/>
              <w:spacing w:before="0" w:after="0"/>
              <w:ind w:left="0" w:right="0" w:firstLine="360"/>
              <w:rPr>
                <w:caps w:val="false"/>
                <w:smallCaps w:val="false"/>
              </w:rPr>
            </w:pPr>
            <w:r>
              <w:rPr>
                <w:caps w:val="false"/>
                <w:smallCaps w:val="false"/>
              </w:rPr>
              <w:t> </w:t>
            </w:r>
          </w:p>
        </w:tc>
        <w:tc>
          <w:tcPr>
            <w:tcW w:w="387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IV, 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IV, LLC, General Partner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ableContents"/>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p>
            <w:pPr>
              <w:pStyle w:val="TableContents"/>
              <w:spacing w:before="0" w:after="0"/>
              <w:ind w:left="0" w:right="0" w:firstLine="360"/>
              <w:jc w:val="both"/>
              <w:rPr>
                <w:caps w:val="false"/>
                <w:smallCaps w:val="false"/>
              </w:rPr>
            </w:pPr>
            <w:r>
              <w:rPr>
                <w:caps w:val="false"/>
                <w:smallCaps w:val="false"/>
              </w:rPr>
              <w:t> </w:t>
            </w:r>
          </w:p>
        </w:tc>
      </w:tr>
      <w:tr>
        <w:trPr/>
        <w:tc>
          <w:tcPr>
            <w:tcW w:w="393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Mgmt, L.P., General Partner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LLC, General Partner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ableContents"/>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p>
            <w:pPr>
              <w:pStyle w:val="TableContents"/>
              <w:spacing w:before="0" w:after="0"/>
              <w:ind w:left="0" w:right="0" w:firstLine="360"/>
              <w:rPr>
                <w:caps w:val="false"/>
                <w:smallCaps w:val="false"/>
              </w:rPr>
            </w:pPr>
            <w:r>
              <w:rPr>
                <w:caps w:val="false"/>
                <w:smallCaps w:val="false"/>
              </w:rPr>
              <w:t> </w:t>
            </w:r>
          </w:p>
        </w:tc>
        <w:tc>
          <w:tcPr>
            <w:tcW w:w="387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IV, 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Mgmt IV, L.P., General Partner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IV, LLC, General Partner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ableContents"/>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p>
            <w:pPr>
              <w:pStyle w:val="TableContents"/>
              <w:spacing w:before="0" w:after="0"/>
              <w:ind w:left="0" w:right="0" w:firstLine="360"/>
              <w:jc w:val="both"/>
              <w:rPr>
                <w:caps w:val="false"/>
                <w:smallCaps w:val="false"/>
              </w:rPr>
            </w:pPr>
            <w:r>
              <w:rPr>
                <w:caps w:val="false"/>
                <w:smallCaps w:val="false"/>
              </w:rPr>
              <w:t> </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Flynn Management LLC, General Partner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ableContents"/>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tc>
        <w:tc>
          <w:tcPr>
            <w:tcW w:w="387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52546" TargetMode="External"/><Relationship Id="rId3" Type="http://schemas.openxmlformats.org/officeDocument/2006/relationships/hyperlink" Target="http://www.sec.gov/cgi-bin/browse-edgar?action=getcompany&amp;CIK=0001799191" TargetMode="External"/><Relationship Id="rId4" Type="http://schemas.openxmlformats.org/officeDocument/2006/relationships/hyperlink" Target="http://www.sec.gov/cgi-bin/browse-edgar?action=getcompany&amp;CIK=0001352546" TargetMode="External"/><Relationship Id="rId5" Type="http://schemas.openxmlformats.org/officeDocument/2006/relationships/hyperlink" Target="http://www.sec.gov/cgi-bin/browse-edgar?action=getcompany&amp;CIK=0001010823" TargetMode="External"/><Relationship Id="rId6" Type="http://schemas.openxmlformats.org/officeDocument/2006/relationships/hyperlink" Target="http://www.sec.gov/cgi-bin/browse-edgar?action=getcompany&amp;CIK=0001301041" TargetMode="External"/><Relationship Id="rId7" Type="http://schemas.openxmlformats.org/officeDocument/2006/relationships/hyperlink" Target="http://www.sec.gov/cgi-bin/browse-edgar?action=getcompany&amp;CIK=0001009258" TargetMode="External"/><Relationship Id="rId8" Type="http://schemas.openxmlformats.org/officeDocument/2006/relationships/hyperlink" Target="http://www.sec.gov/cgi-bin/browse-edgar?action=getcompany&amp;CIK=0001713467" TargetMode="External"/><Relationship Id="rId9" Type="http://schemas.openxmlformats.org/officeDocument/2006/relationships/hyperlink" Target="http://www.sec.gov/cgi-bin/browse-edgar?action=getcompany&amp;CIK=0001680307"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1999</Words>
  <CharactersWithSpaces>12608</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