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 November 12, 2021</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The Oncology Institute, Inc.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001-39248</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84-3562323</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w:t>
            </w:r>
          </w:p>
        </w:tc>
        <w:tc>
          <w:tcPr>
            <w:tcW w:w="52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(Commission</w:t>
            </w:r>
          </w:p>
        </w:tc>
        <w:tc>
          <w:tcPr>
            <w:tcW w:w="192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2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File Number)</w:t>
            </w:r>
          </w:p>
        </w:tc>
        <w:tc>
          <w:tcPr>
            <w:tcW w:w="192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34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w w:val="90"/>
              </w:rPr>
              <w:t>18000 Studebaker Rd, Suite 800</w:t>
            </w:r>
          </w:p>
        </w:tc>
        <w:tc>
          <w:tcPr>
            <w:tcW w:w="192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5220" w:type="dxa"/>
            <w:vAlign w:val="bottom"/>
          </w:tcPr>
          <w:p>
            <w:pPr>
              <w:jc w:val="center"/>
              <w:ind w:right="3490"/>
              <w:spacing w:after="0"/>
              <w:rPr>
                <w:sz w:val="20"/>
                <w:szCs w:val="20"/>
                <w:color w:val="auto"/>
              </w:rPr>
            </w:pPr>
            <w:r>
              <w:rPr>
                <w:rFonts w:ascii="Arial" w:cs="Arial" w:eastAsia="Arial" w:hAnsi="Arial"/>
                <w:sz w:val="18"/>
                <w:szCs w:val="18"/>
                <w:b w:val="1"/>
                <w:bCs w:val="1"/>
                <w:color w:val="auto"/>
                <w:w w:val="93"/>
              </w:rPr>
              <w:t>Cerritos, California</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90703</w:t>
            </w:r>
          </w:p>
        </w:tc>
      </w:tr>
      <w:tr>
        <w:trPr>
          <w:trHeight w:val="234"/>
        </w:trPr>
        <w:tc>
          <w:tcPr>
            <w:tcW w:w="734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2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2120" w:type="dxa"/>
            <w:vAlign w:val="bottom"/>
          </w:tcPr>
          <w:p>
            <w:pPr>
              <w:spacing w:after="0"/>
              <w:rPr>
                <w:sz w:val="24"/>
                <w:szCs w:val="24"/>
                <w:color w:val="auto"/>
              </w:rPr>
            </w:pPr>
          </w:p>
        </w:tc>
        <w:tc>
          <w:tcPr>
            <w:tcW w:w="52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(213) 760-1328</w:t>
            </w:r>
          </w:p>
        </w:tc>
        <w:tc>
          <w:tcPr>
            <w:tcW w:w="192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DFP Healthcare Acquisitions Corp.</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345 Park Avenue South</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498"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2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05"/>
        </w:trPr>
        <w:tc>
          <w:tcPr>
            <w:tcW w:w="44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220" w:type="dxa"/>
            <w:vAlign w:val="bottom"/>
          </w:tcPr>
          <w:p>
            <w:pPr>
              <w:spacing w:after="0"/>
              <w:rPr>
                <w:sz w:val="17"/>
                <w:szCs w:val="17"/>
                <w:color w:val="auto"/>
              </w:rPr>
            </w:pPr>
          </w:p>
        </w:tc>
        <w:tc>
          <w:tcPr>
            <w:tcW w:w="20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TOI</w:t>
            </w:r>
          </w:p>
        </w:tc>
        <w:tc>
          <w:tcPr>
            <w:tcW w:w="220" w:type="dxa"/>
            <w:vAlign w:val="bottom"/>
          </w:tcPr>
          <w:p>
            <w:pPr>
              <w:spacing w:after="0"/>
              <w:rPr>
                <w:sz w:val="17"/>
                <w:szCs w:val="17"/>
                <w:color w:val="auto"/>
              </w:rPr>
            </w:pPr>
          </w:p>
        </w:tc>
        <w:tc>
          <w:tcPr>
            <w:tcW w:w="4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8"/>
              </w:rPr>
              <w:t>Warrants to purchase common stock</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rPr>
              <w:t>TOIIW</w:t>
            </w:r>
          </w:p>
        </w:tc>
        <w:tc>
          <w:tcPr>
            <w:tcW w:w="2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3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context otherwise requires, “we,” “us,” “our,” “TOI” and the “Company” refer to The Oncology Institute, Inc., a Delaware corporation (f/k/a DFP Healthcare Acquisitions Corp., a Delaware corporation), and its consolidated subsidiaries following the Closing (as defined below). Unless the context otherwise requires, references to “DFP” refer to DFP Healthcare Acquisitions Corp., a Delaware corporation, prior to the Closing. All references herein to the “Board” refer to the board of directors of the Company.</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Terms used in this Current Report on Form 8-K (this “Report”) but not defined herein, or for which definitions are not otherwise incorporated by reference herein, shall have the meaning given to such terms in the Proxy Statement/Prospectus (as defined below) in the section entitled “Certain Defined Terms” beginning on page iv thereof, and such definitions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November 12, 2021, (the “Closing Date”), DFP Healthcare Acquisitions Corp., a Delaware corporation (“DFP”), completed the previously announced business combination pursuant to that certain and Plan of Merger, dated June 28, 2021, by and among DFP, Orion Merger Sub I, Inc., a Delaware corporation and a direct, wholly owned subsidiary of DFP (“First Merger Sub”), Orion Merger Sub II, LLC, a Delaware limited liability company and a direct, wholly owned subsidiary of DFP (“Second Merger Sub”) and TOI Parent, Inc., a Delaware corporation (“Old TOI”) (as it may be amended and/or restated from time to time, the “Merger Agreement”). As contemplated by the Merger Agreement, immediately prior to the effective time of the First Merger (the “Effective Time”), Old TOI caused each share of Old TOI preferred stock, par value $0.001 per share (“Old TOI Preferred Stock”) issued and outstanding as of such time to be automatically converted into 10 shares of common stock of Old TOI, par value $0.001 per share (“Old TOI Common Stock”, and such conversion, the “Conversion”). After giving effect to the Conversion, no shares of TOI Preferred Stock remained issued and outstanding.</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the Effective Time, (i) the First Merger Sub merged with and into Old TOI (the “First Merger”), with Old TOI being the surviving corporation and (ii) immediately following the First Merger, Old TOI merged with and into the Second Merger Sub (the “Second Merger”), with the Second Merger Sub being the surviving entity and a wholly owned subsidiary of DFP (the First Merger and Second Merger together, the “Business Combination”). Upon the closing of the Business Combination, DFP changed its name to “The Oncology Institute, Inc.” (“TOI”). TOI will continue the existing business operations of Old TOI as a publicly traded company.</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Following the closing of the Business Combination (the “Closing”), TOI will issue to eligible holders of securities of TOI up to 12,500,000 additional shares of TOI Common Stock, par value $0.0001 per share (“TOI Common Stock”) in the aggregate (the “Earnout Shares”). The Earnout Shares will be earned in two tranches of 5,000,000 and 7,500,000 Earnout Shares, respectively, upon TOI achieving a price per share of TOI Common Stock of $12.50 during the two-year period following the Closing or a per share stock price of $15.00 during the three-year period following the Closing, in each case, as its last reported sales price per share for any 20 trading days within any 30 consecutive trading day period within the applicable earnout period; provided, that</w:t>
      </w:r>
    </w:p>
    <w:p>
      <w:pPr>
        <w:spacing w:after="0" w:line="2" w:lineRule="exact"/>
        <w:rPr>
          <w:sz w:val="20"/>
          <w:szCs w:val="20"/>
          <w:color w:val="auto"/>
        </w:rPr>
      </w:pPr>
    </w:p>
    <w:p>
      <w:pPr>
        <w:ind w:right="40" w:firstLine="8"/>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one or both of the share price triggers has not been achieved prior to the end of the three-year period following the Closing, (ii) TOI enters into a definitive agreement that would result in a change of control and (iii) the price per share of TOI Common Stock in such transaction is equal to or greater than one or both of the share price triggers that have not been satisfied during the applicable earnout period, then, the applicable share price trigger that has not been satisfied will be deemed to have been satisfied and earned at the Closing of such transaction as if such share price trigger had been achieved. Holders of Company Options will be issued their pro rata share of the Earnout Shares at Closing, in the form of restricted stock, subject to forfeiture if the Earnout Shares are not earned by the end of the applicable earnout periods. All other Earnout Shares will be issued only if and when the Earnout Shares are earned as described above.</w:t>
      </w:r>
    </w:p>
    <w:p>
      <w:pPr>
        <w:spacing w:after="0" w:line="19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Concurrently with the execution of the Merger Agreement, DFP entered into a Stockholder Support Agreement (the “Stockholder Support Agreement”) with Old TOI, DFP Sponsor LLC (the “Sponsor”) and certain of DFP’s directors and officers (together with the Sponsor, the “Subject Stockholders”), pursuant to which, among other things described in the proxy/prospectus on Form S-4 incorporated by reference herein, the Subject Stockholders agreed to subject 20% of the shares of DFP Class B common stock, par value $0.0001 per share (the “DFP Class B Common Stock”), held by the Subject Stockholders (the “Subject Shares”) and 20% of the Private Placement Warrants held by the Sponsor (the “Subject Warrants,” and, together with the Subject Shares, the “Subject Securities”) to forfeiture. The number of Subject Shares and Subject Warrants to be forfeited was determined by multiplying the Subject Warrants and the Subject Warrants, as applicable, by a fraction, the numerator of which is (i) the total number of shares of DFP Class A Common Stock redeemed by DFP’s stockholders prior to the closing, and the denominator of which is (ii) the total number of shares of DFP Class A Common Stock issued and outstanding as of June 28, 2021 (excluding such shares of DFP Class A Common Stock beneficially owned by the Subject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previously announced, concurrently with the execution of the Merger Agreement, DFP entered into subscription agreements (the “Subscription Agreements”) with certain institutional and accredited investors (collectively, the “PIPE Investors”), including Deerfield Private Design Fund IV, L.P. (“Deerfield Fund IV”) and Deerfield Partners, L.P. (“Deerfield Partners,” and, together with Deerfield Fund IV, the “Deerfield Funds”), pursuant to which the PIPE Investors agreed to purchase, an aggregate of 27.5 million shares of DFP Class A Common Stock at a purchase price of $10.00 per share, for aggregate proceeds of $275,000,000 (the “PIPE Investment”). Following the Deerfield Exchange described in the proxy statement/prospectus on Form S-4 incorporated by reference herein (the “Proxy Statement/Prospectus”), for every 100 shares of DFP Class A Common Stock to be purchased by the Deerfield Funds, the Deerfield Funds had the option to instead purchase one share of Series A Common Equivalent Preferred Stock (as defined in the Proxy Statement/Prospectus) at a purchase price of $1,000 per share. The PIPE Investment was consummated substantially concurrently with the Closing.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November 12, 2021, in connection with the consummation of the Business Combination and as contemplated by the Merger Agreement, DFP, Sponsor, the Deerfield Funds and the other parties thereto, entered into the Registration Rights Agreement (the “Registration Rights Agreement”). The material terms of the Registration Rights Agreement are described in the section of the Proxy Statement/Prospectus beginning on page 99 titled “</w:t>
      </w:r>
      <w:r>
        <w:rPr>
          <w:rFonts w:ascii="Arial" w:cs="Arial" w:eastAsia="Arial" w:hAnsi="Arial"/>
          <w:sz w:val="17"/>
          <w:szCs w:val="17"/>
          <w:i w:val="1"/>
          <w:iCs w:val="1"/>
          <w:color w:val="auto"/>
        </w:rPr>
        <w:t>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Proposal—New Registration Rights Agreement</w:t>
      </w:r>
      <w:r>
        <w:rPr>
          <w:rFonts w:ascii="Arial" w:cs="Arial" w:eastAsia="Arial" w:hAnsi="Arial"/>
          <w:sz w:val="17"/>
          <w:szCs w:val="17"/>
          <w:color w:val="auto"/>
        </w:rPr>
        <w:t>.” Such description is qualified in its entirety by the text of the Registration Rights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included as Exhibit 10.1 to this Report and is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the “</w:t>
      </w:r>
      <w:r>
        <w:rPr>
          <w:rFonts w:ascii="Arial" w:cs="Arial" w:eastAsia="Arial" w:hAnsi="Arial"/>
          <w:sz w:val="18"/>
          <w:szCs w:val="18"/>
          <w:i w:val="1"/>
          <w:iCs w:val="1"/>
          <w:color w:val="auto"/>
        </w:rPr>
        <w:t>Introductory Note –Merger Transaction</w:t>
      </w:r>
      <w:r>
        <w:rPr>
          <w:rFonts w:ascii="Arial" w:cs="Arial" w:eastAsia="Arial" w:hAnsi="Arial"/>
          <w:sz w:val="18"/>
          <w:szCs w:val="18"/>
          <w:color w:val="auto"/>
        </w:rPr>
        <w:t>” above is incorporated into this Item 2.01 by reference.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special meeting of DFP stockholders was held on November 12, 2021 (the “Special Meeting”), where the DFP stockholders considered and approved, among other matters, a proposal to adopt the Merger Agreement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Prior to the Special meeting, holders of 17,120,363 Class A ordinary shares of DFP exercised their right to redeem those shares for cash at a price of approximately $10.00 per share, for an aggregate of $171,203,630 (the “Redemptions”). Immediately after giving effect to the Redemptions and prior to the transactions contemplated in the Exchange Agreement, there were 5,789,637 shares of TOI common stock and 5,750,000 TOI Public Warrants outstanding. Upon the consummation of the Business Combination, DFP’s ordinary shares, warrants and units ceased trading on the Nasdaq Capital Market (“Nasdaq”), and TOI’s common stock and warrants began trading on November 15, 2021 on the Nasdaq under the symbols “TOI” and “TOIIW,” respectively. Immediately after giving effect to the Business Combination and the PIPE Investment, (1) DFP’s public shareholders owned approximately 1.2% of the outstanding TOI common stock, (2) Old TOI equity holders (without taking into account any public shares held by Old TOI equity holders prior to the consummation of the Business Combination) owned approximately 70.6% of the outstanding TOI common stock, (3) the Sponsor and related parties (including the Sponsor Related PIPE Investors) collectively owned approximately 4.5% of the outstanding TOI common stock and (4) the third party PIPE investors owned approximately 23.5% of the outstanding TOI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Item 2.01(f) of Form 8-K provides that if the predecessor registrant was a “shell company” (as such term is defined in Rule 12b-2 under the Securities Exchange Act of 1934, as amended (the “Exchange Act”)), as DFP was immediately before the Business Combination, then the registrant must disclose the information that would be required if the registrant were filing a general form for registration of securities on Form 10. As a result of the consummation of the Business Combination, and as discussed below in Item 5.06 of this Report, the Company has ceased to be a shell company. Accordingly, the Company is providing the information below that would be included in a Form 10 if it were to file a Form 10. Please note that the information provided below relates to the combined company after the consummation of the Business Combination, unless otherwise specifically indicated or the context otherwise requires.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Report contains statements that are forward-looking and as such are not historical facts.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TOI discusses its strategies or plans it is making projections, forecasts or forward-looking statements. Such statements are based on the beliefs of, as well as assumptions made by and information currently available to, TOI’s management.</w:t>
      </w:r>
    </w:p>
    <w:p>
      <w:pPr>
        <w:spacing w:after="0" w:line="192" w:lineRule="exact"/>
        <w:rPr>
          <w:sz w:val="20"/>
          <w:szCs w:val="20"/>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TOI;</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TOI common stock and TOI warrants on Nasdaq;</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TOI, including:</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ability of TOI to maintain an effective system of internal controls over financial reporting;</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ability of TOI to grow market share in its existing markets or any new markets it may enter;</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ability of TOI to respond to general economic conditions;</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ability of TOI to manage its growth effectively;</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ability of TOI to achieve and maintain profitability in the future;</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ability of TOI to attract new patients;</w:t>
      </w:r>
    </w:p>
    <w:p>
      <w:pPr>
        <w:spacing w:after="0" w:line="225" w:lineRule="exact"/>
        <w:rPr>
          <w:rFonts w:ascii="Arial" w:cs="Arial" w:eastAsia="Arial" w:hAnsi="Arial"/>
          <w:sz w:val="18"/>
          <w:szCs w:val="18"/>
          <w:color w:val="auto"/>
        </w:rPr>
      </w:pPr>
    </w:p>
    <w:p>
      <w:pPr>
        <w:ind w:left="1700" w:hanging="32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continued reimbursement from third-party payors; and</w:t>
      </w:r>
    </w:p>
    <w:p>
      <w:pPr>
        <w:spacing w:after="0" w:line="225" w:lineRule="exact"/>
        <w:rPr>
          <w:rFonts w:ascii="Arial" w:cs="Arial" w:eastAsia="Arial" w:hAnsi="Arial"/>
          <w:sz w:val="18"/>
          <w:szCs w:val="18"/>
          <w:color w:val="auto"/>
        </w:rPr>
      </w:pPr>
    </w:p>
    <w:p>
      <w:pPr>
        <w:ind w:left="1700" w:right="760" w:hanging="329"/>
        <w:spacing w:after="0" w:line="277" w:lineRule="auto"/>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titled “Risk Factors” beginning on page 45 of the Proxy Statement/Prospectus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the other documents filed by TOI from time to time with the SEC. The forward-looking statements contained in this Report and in any document incorporated by reference are based on current expectations and beliefs concerning future developments and their potential effects on TOI. There can be no assurance that future developments affecting TOI will be those that TOI has anticipated. TOI undertakes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TOI’s business is described in the Proxy Statement/Prospectus in the section titled “</w:t>
      </w:r>
      <w:r>
        <w:rPr>
          <w:rFonts w:ascii="Arial" w:cs="Arial" w:eastAsia="Arial" w:hAnsi="Arial"/>
          <w:sz w:val="18"/>
          <w:szCs w:val="18"/>
          <w:i w:val="1"/>
          <w:iCs w:val="1"/>
          <w:color w:val="auto"/>
        </w:rPr>
        <w:t>Business of TOI</w:t>
      </w:r>
      <w:r>
        <w:rPr>
          <w:rFonts w:ascii="Arial" w:cs="Arial" w:eastAsia="Arial" w:hAnsi="Arial"/>
          <w:sz w:val="18"/>
          <w:szCs w:val="18"/>
          <w:color w:val="auto"/>
        </w:rPr>
        <w:t>” beginning on page 182,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risks associated with TOI’s business are described in the Proxy Statement/Prospectus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45 and are incorporated herein by reference. A summary of the risks associated with TOI’s business is also included on pages 41-42 of the Proxy Statement/Prospectus under the heading “</w:t>
      </w:r>
      <w:r>
        <w:rPr>
          <w:rFonts w:ascii="Arial" w:cs="Arial" w:eastAsia="Arial" w:hAnsi="Arial"/>
          <w:sz w:val="18"/>
          <w:szCs w:val="18"/>
          <w:i w:val="1"/>
          <w:iCs w:val="1"/>
          <w:color w:val="auto"/>
        </w:rPr>
        <w:t>Summary Risk Factors</w:t>
      </w:r>
      <w:r>
        <w:rPr>
          <w:rFonts w:ascii="Arial" w:cs="Arial" w:eastAsia="Arial" w:hAnsi="Arial"/>
          <w:sz w:val="18"/>
          <w:szCs w:val="18"/>
          <w:color w:val="auto"/>
        </w:rPr>
        <w:t>” and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22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(i) audited consolidated financial statements of Old TOI as of and for the years ended December 31, 2020 and 2019 included in the Proxy Statement/Prospectus beginning on page F-73 of the Proxy Statement/Prospectus and (ii) unaudited condensed consolidated financial statements of Old TOI as of and for the periods ended September 30, 2021 and 2020 are set forth in Exhibit 99.1 hereto and are incorporated herein by reference.</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unaudited pro forma condensed combined financial information of DFP and Old TOI as of and for the nine months ended September 30, 2021 and as of and for the year ended December 31, 2020 is set forth in Exhibit 99.2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TOI’s consolidated results of operations and financial condition. The discussion should be read together with “Selected Historical Financial and Operating Data”, the historical audited annual statements for the years ended December 31, 2020 and 2019, and the related notes that are included elsewhere in this Report and the historical unaudited interim statements for the nine months ended September 30, 2021 and 2020, and the related notes that are included elsewhere in this Report. The discussion and analysis should also be read together with the pro forma financial information as of and for the year ended December 31, 2020 (and for the nine months ended September 30, 2021). See “Unaudited Pro Forma Condensed Combined Financial Information.” This discussion may contain forward-looking statements based upon current expectations that involve risks and uncertainties. TOI’s actual results may differ materially from those anticipated in these forward-looking statements as a result of various factors, including those set forth under “Risk Factors” or in other parts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a leading value-based oncology company that manages community-based oncology practices that serve patients at 62 clinic locations across 10 markets and four states throughout the United States, which are staffed with 90 oncologists and advanced practice providers. 48 of these clinics are staffed with 79 providers employed by our affiliated physician-owned professional entities, which we refer to as the TOI PCs, through which we have provided care for more than 46,000 patients in 2020 and managed a population of approximately 1.6 million patients under value-based agreements as of September 30, 2021. We also provide management services on behalf of 14 clinic locations owned by independent oncology practices. Our mission is to heal and empower cancer patients through compassion, innovation, and state-of-the-art medical care.</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managed clinics provide a range of medical oncology services, including physician services, in-house infusion and dispensary, clinical trial services, innovative programs like outpatient stem cell transplants and transfusions, along with 24/7 patient support. Many of our services, such as managing clinical trials, palliative care programs and stem cell transplants, are traditionally accessed through academic and tertiary care settings, while the TOI PCs bring these services to patients in a community setting. As scientific research progresses and more treatment options become available, cancer care is shifting from acute care episodes to chronic disease management. With this shift, it is increasingly important for high-quality, high-value cancer care to be available in a local community setting to all patients in need.</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value-based oncology company, we seek to deliver both better quality care and lower cost of care. We work to accomplish this goal by reducing wasteful, inefficient or counterproductive care that drives up costs but does not improve outcomes. We believe payors and employers are aligned with the value-based model due to its enhanced access, improved outcomes, and lower costs. Patients under our affiliated providers’ care can benefit from evidence-based and personalized care plans, gain access to sub-specialized care in convenient community locations, and lower out-of-pocket costs. We believe our affiliated providers enjoy the stability and predictability of a large multi-state practice, are not incentivized or pressured to overtreat when it may be inconsistent with a patient’s goals of care, and can focus on practicing outstanding evidence-based medicine, rather than business building.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28, 2021, DFP, First Merger Sub and Second Merger Sub entered into the Merger Agreement with Old TOI. The Merger Agreement provides for,</w:t>
      </w:r>
    </w:p>
    <w:p>
      <w:pPr>
        <w:spacing w:after="0" w:line="46" w:lineRule="exact"/>
        <w:rPr>
          <w:sz w:val="20"/>
          <w:szCs w:val="20"/>
          <w:color w:val="auto"/>
        </w:rPr>
      </w:pPr>
    </w:p>
    <w:p>
      <w:pPr>
        <w:jc w:val="both"/>
        <w:ind w:right="140" w:firstLine="8"/>
        <w:spacing w:after="0" w:line="323"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First Merger Sub will merge with and into Old TOI, with Old TOI being the surviving corporation and (ii) immediately following the First Merger, Old TOI will merge with and into the Second Merger Sub, with the Second Merger Sub being the surviving entity and a wholly owned subsidiary of DFP.</w:t>
      </w:r>
    </w:p>
    <w:p>
      <w:pPr>
        <w:spacing w:after="0" w:line="1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November 12, 2021, the Business Combination closed. DFP was renamed “The Oncology Institute, Inc.” and the TOI Common Stock and the Public Warrants continued to be listed on Nasdaq under the ticker symbols “TOI” and “TOIIW,” respectively.</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Business Combination is accounted for as a reverse recapitalization in accordance with U.S. GAAP. Under this method of accounting, DFP is treated as the “acquired” company for accounting purposes and the Business Combination is treated as the equivalent of Old TOI issuing stock for the net assets of DFP, accompanied by a recapitalization. The net assets of DFP is stated at historical cost, with no goodwill or other intangible assets recorded. Operations prior to the Business Combination were those of Old TOI. The most significant changes in TOI’s future reported financial position and results are a net increase in cash (as compared to our consolidated balance sheet at September 30, 2021) of $127,402. The total estimated transaction costs for the Business Combination are approximately $40,000. In addition, deferred underwriter fees related to DFP’s initial public offering of $6,300 were paid at the close of the Business Combination. See “Unaudited Pro Forma Combined Financial Information.” New TOI’s cash on hand after giving effect to these transactions will be used for general corporate purposes, general and administrative matters, and capital expenditures. New TOI may also use the proceeds for the acquisition of, or investment in, technologies, solutions, or businesses that complement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Public Company Costs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Business Combination, New TOI is expected to continue as an SEC-registered and Nasdaq-listed company. We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measures to contain the spread and impact of COVID-19 and other developments related to COVID-19 have affected the way in which we conduct our day-to-day business. We have followed U.S. guidance to protect our employees and operations during the pandemic and implemented a partially remote environment for our business. We cannot predict the ongoing impacts of the COVID-19 pandemic or the distribution of vaccines on our business or operations, but we will continue to actively monitor the related issues and may take further actions that alter our business operations, including as may be required by federal, state, local or foreign authorities or that we determine are in the best interests of our employees, payors, partners and stockholders.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and other patients during the public health emergency. Sources of relief include the Coronavirus Aid, Relief and Economic Security Act (the “CARES Act”), which was enacted on March 27, 2020, the Paycheck Protection Program and Health Care Enhancement Act (the “PPPHCE Act”), which was enacted on April 24, 2020, and the Consolidated Appropriations Act, 2021 (the “CAA”), which was enacted on December 27, 2020. In addition, the CARES Act provides for an expansion of the Medicare Accelerated and Advance Payment Program whereby inpatient acute care hospitals and other eligible providers were able to request accelerated payment of up to 100% of their Medicare payment amount for a six-month period to be repaid through withholding of future Medicare fee-for-service payments. Various other state and local programs also exist to provide relief, either independently or through distribution of monies received via the CARES Act. During 2021 and 2020, we obtained loans of $4,993 pursuant to the PPPHCE Act; $2,727 under the Accelerated and Advance Payment Program; and $2,001 from Provider Relief Funding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Patients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Through the TOI PCs, we serve adult and senior cancer patients in markets that have Medicare Advantage (“MA”) plans. We plan to leverage our long-established, strong relationships with payors to continue to build out our network and increase access to cancer patients in adjacent markets, while at the same time, decreasing oncology care costs for both patients and payors. We seek to provide high quality and lower cost care delivery through the following capabilities:</w:t>
      </w:r>
    </w:p>
    <w:p>
      <w:pPr>
        <w:spacing w:after="0" w:line="187" w:lineRule="exact"/>
        <w:rPr>
          <w:sz w:val="20"/>
          <w:szCs w:val="20"/>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recruiting process focused on selecting physicians that want to practice evidence-based medicine;</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technology-enabled care pathways ensuring adherence to evidence-based clinical protocols;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clinical culture and physician oversight;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care management to prevent unnecessary hospitalizations;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care delivered in community clinics versus hospital setting;</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clinically appropriate integration of palliative care and hospice aligned with patients’ goals for care;</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clinical trials providing cutting-edge treatment options at low or no cost to patients or payors; and</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appropriate provider training on clinical documentation to ensure proper risk adjustment and reimbursement for complex patients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 addition to our financial information, we review a number of operating and financial metrics, including the following key metrics, to evaluate our business, measure our performance, identify trends affecting our business, formulate business plans, and make strategic decisions.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1"/>
              </w:rPr>
              <w:t>Three Months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Nine Months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Ended September 30,</w:t>
            </w:r>
          </w:p>
        </w:tc>
        <w:tc>
          <w:tcPr>
            <w:tcW w:w="280" w:type="dxa"/>
            <w:vAlign w:val="bottom"/>
          </w:tcPr>
          <w:p>
            <w:pPr>
              <w:spacing w:after="0"/>
              <w:rPr>
                <w:sz w:val="20"/>
                <w:szCs w:val="20"/>
                <w:color w:val="auto"/>
              </w:rPr>
            </w:pPr>
          </w:p>
        </w:tc>
        <w:tc>
          <w:tcPr>
            <w:tcW w:w="2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Ended 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r>
      <w:tr>
        <w:trPr>
          <w:trHeight w:val="250"/>
        </w:trPr>
        <w:tc>
          <w:tcPr>
            <w:tcW w:w="25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Clinics </w:t>
            </w:r>
            <w:r>
              <w:rPr>
                <w:rFonts w:ascii="Arial" w:cs="Arial" w:eastAsia="Arial" w:hAnsi="Arial"/>
                <w:sz w:val="28"/>
                <w:szCs w:val="28"/>
                <w:color w:val="auto"/>
                <w:vertAlign w:val="superscript"/>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57"/>
        </w:trPr>
        <w:tc>
          <w:tcPr>
            <w:tcW w:w="2500" w:type="dxa"/>
            <w:vAlign w:val="bottom"/>
          </w:tcPr>
          <w:p>
            <w:pPr>
              <w:spacing w:after="0" w:line="256" w:lineRule="exact"/>
              <w:rPr>
                <w:sz w:val="20"/>
                <w:szCs w:val="20"/>
                <w:color w:val="auto"/>
              </w:rPr>
            </w:pPr>
            <w:r>
              <w:rPr>
                <w:rFonts w:ascii="Arial" w:cs="Arial" w:eastAsia="Arial" w:hAnsi="Arial"/>
                <w:sz w:val="18"/>
                <w:szCs w:val="18"/>
                <w:color w:val="auto"/>
              </w:rPr>
              <w:t xml:space="preserve">Markets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05"/>
        </w:trPr>
        <w:tc>
          <w:tcPr>
            <w:tcW w:w="25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0"/>
              </w:rPr>
              <w:t>Lives under value-based contracts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7"/>
        </w:trPr>
        <w:tc>
          <w:tcPr>
            <w:tcW w:w="25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 xml:space="preserve">(millions)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5,773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4,760</w:t>
            </w:r>
          </w:p>
        </w:tc>
      </w:tr>
    </w:tbl>
    <w:p>
      <w:pPr>
        <w:spacing w:after="0" w:line="18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period end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independent oncology practices to which we provide limited management services, but do not bear the operating costs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define adjusted EBITDA as net income (loss) excluding depreciation and amortization, interest and income tax expense, stock-based compensation and unusual or non-recurring charges. We include adjusted EBITDA because it is an important measure upon which our management uses to assess the results of operations, to evaluate factors and trends affecting our business, and to plan and forecast future periods. We also consider adjusted EBITDA to be an important measure because it helps illustrate underlying trends in our business and our historical operating performance on a more consistent basis.</w:t>
      </w:r>
    </w:p>
    <w:p>
      <w:pPr>
        <w:spacing w:after="0" w:line="15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Adjusted EBITDA is “non-GAAP” financial measure within the meaning of Item 10 of Regulation S-K promulgated by the SEC. We believe that this measure provides an additional way of viewing aspects of our operations that, when viewed with the GAAP results, provides a more complete understanding of our results of operations and the factors and trends affecting our business. However, non-GAAP financial measures should be considered a supplement to, and not as a substitute for, or superior to, the corresponding measures calculated in accordance with U.S. GAAP. Non-GAAP financial measures used by us may differ from the non-GAAP measures used by other companies, including our competitors.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encourage investors and others to review our financial information in its entirety, not to rely on any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The following table provides a reconciliation of net income (loss), the most closely comparable GAAP financial measure, to Adjusted EBITDA: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(3,574)%</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and management fees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5460" w:type="dxa"/>
            <w:vAlign w:val="bottom"/>
            <w:gridSpan w:val="2"/>
          </w:tcPr>
          <w:p>
            <w:pPr>
              <w:spacing w:after="0" w:line="256" w:lineRule="exact"/>
              <w:rPr>
                <w:sz w:val="20"/>
                <w:szCs w:val="20"/>
                <w:color w:val="auto"/>
              </w:rPr>
            </w:pPr>
            <w:r>
              <w:rPr>
                <w:rFonts w:ascii="Arial" w:cs="Arial" w:eastAsia="Arial" w:hAnsi="Arial"/>
                <w:sz w:val="18"/>
                <w:szCs w:val="18"/>
                <w:color w:val="auto"/>
              </w:rPr>
              <w:t>Non-cash addbacks</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5460" w:type="dxa"/>
            <w:vAlign w:val="bottom"/>
            <w:gridSpan w:val="2"/>
          </w:tcPr>
          <w:p>
            <w:pPr>
              <w:spacing w:after="0" w:line="256"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9"/>
                <w:szCs w:val="29"/>
                <w:color w:val="auto"/>
                <w:vertAlign w:val="superscript"/>
              </w:rPr>
              <w:t>(2)</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Consulting and legal fees</w:t>
            </w:r>
            <w:r>
              <w:rPr>
                <w:rFonts w:ascii="Arial" w:cs="Arial" w:eastAsia="Arial" w:hAnsi="Arial"/>
                <w:sz w:val="29"/>
                <w:szCs w:val="29"/>
                <w:color w:val="auto"/>
                <w:vertAlign w:val="superscript"/>
              </w:rPr>
              <w:t>(3)</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460" w:type="dxa"/>
            <w:vAlign w:val="bottom"/>
            <w:gridSpan w:val="2"/>
          </w:tcPr>
          <w:p>
            <w:pPr>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9"/>
                <w:szCs w:val="29"/>
                <w:color w:val="auto"/>
                <w:vertAlign w:val="superscript"/>
              </w:rPr>
              <w:t>(4)</w:t>
            </w:r>
          </w:p>
        </w:tc>
        <w:tc>
          <w:tcPr>
            <w:tcW w:w="2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807</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320" w:type="dxa"/>
            <w:vAlign w:val="bottom"/>
          </w:tcPr>
          <w:p>
            <w:pPr>
              <w:spacing w:after="0"/>
              <w:rPr>
                <w:sz w:val="23"/>
                <w:szCs w:val="23"/>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addbacks were primarily comprised of deferred rent and tenant improvement allowances during the three months ended September 30, 2021 and 2020, respectively.</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Acquisition-related costs were comprised of consulting and legal fees incurred to perform due diligence, execute, and integrate acquisitions.</w:t>
      </w:r>
    </w:p>
    <w:p>
      <w:pPr>
        <w:spacing w:after="0" w:line="236" w:lineRule="exact"/>
        <w:rPr>
          <w:rFonts w:ascii="Arial" w:cs="Arial" w:eastAsia="Arial" w:hAnsi="Arial"/>
          <w:sz w:val="17"/>
          <w:szCs w:val="17"/>
          <w:color w:val="auto"/>
        </w:rPr>
      </w:pPr>
    </w:p>
    <w:p>
      <w:pPr>
        <w:ind w:right="320" w:firstLine="8"/>
        <w:spacing w:after="0" w:line="34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Consulting and legal fees were comprised of a subset of the Company’s total consulting and legal fees during the three months ended September 30, 2021 and 2020, and related to certain advisory projects, software implementations, and legal fees for debt financing and predecessor litigation matters.</w:t>
      </w:r>
    </w:p>
    <w:p>
      <w:pPr>
        <w:spacing w:after="0" w:line="123" w:lineRule="exact"/>
        <w:rPr>
          <w:rFonts w:ascii="Arial" w:cs="Arial" w:eastAsia="Arial" w:hAnsi="Arial"/>
          <w:sz w:val="16"/>
          <w:szCs w:val="16"/>
          <w:color w:val="auto"/>
        </w:rPr>
      </w:pPr>
    </w:p>
    <w:p>
      <w:pPr>
        <w:ind w:right="12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net is comprised of severance expenses resulting from cost rationalization programs, as well as temporary labor and recruiting expenses to build out corporate infrastructure during the three months ended September 30,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2,421</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1,797</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and management fees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5440" w:type="dxa"/>
            <w:vAlign w:val="bottom"/>
            <w:gridSpan w:val="2"/>
          </w:tcPr>
          <w:p>
            <w:pPr>
              <w:spacing w:after="0" w:line="256" w:lineRule="exact"/>
              <w:rPr>
                <w:sz w:val="20"/>
                <w:szCs w:val="20"/>
                <w:color w:val="auto"/>
              </w:rPr>
            </w:pPr>
            <w:r>
              <w:rPr>
                <w:rFonts w:ascii="Arial" w:cs="Arial" w:eastAsia="Arial" w:hAnsi="Arial"/>
                <w:sz w:val="18"/>
                <w:szCs w:val="18"/>
                <w:color w:val="auto"/>
              </w:rPr>
              <w:t>Non-cash addbacks</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(5,642)</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7,661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(13,303)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5440" w:type="dxa"/>
            <w:vAlign w:val="bottom"/>
            <w:gridSpan w:val="2"/>
          </w:tcPr>
          <w:p>
            <w:pPr>
              <w:spacing w:after="0" w:line="256"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9"/>
                <w:szCs w:val="29"/>
                <w:color w:val="auto"/>
                <w:vertAlign w:val="superscript"/>
              </w:rPr>
              <w:t>(2)</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Consulting and legal fees</w:t>
            </w:r>
            <w:r>
              <w:rPr>
                <w:rFonts w:ascii="Arial" w:cs="Arial" w:eastAsia="Arial" w:hAnsi="Arial"/>
                <w:sz w:val="29"/>
                <w:szCs w:val="29"/>
                <w:color w:val="auto"/>
                <w:vertAlign w:val="superscript"/>
              </w:rPr>
              <w:t>(3)</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440" w:type="dxa"/>
            <w:vAlign w:val="bottom"/>
            <w:gridSpan w:val="2"/>
          </w:tcPr>
          <w:p>
            <w:pPr>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9"/>
                <w:szCs w:val="29"/>
                <w:color w:val="auto"/>
                <w:vertAlign w:val="superscript"/>
              </w:rPr>
              <w:t>(4)</w:t>
            </w:r>
          </w:p>
        </w:tc>
        <w:tc>
          <w:tcPr>
            <w:tcW w:w="2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4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31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Non-cash addbacks were primarily comprised of a $5,037 gain on extinguishment of COVID-19-related loans and net bad debt recoveries of $667, partially offset by deferred rent and tenant improvement allowances, and a $7,500 impairment of notes receivable (as described further below), partially offset by deferred rent and tenant improvement allowances, during the nine months ended September 30, 2021 and 2020, respectively.</w:t>
      </w:r>
    </w:p>
    <w:p>
      <w:pPr>
        <w:spacing w:after="0" w:line="148"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Acquisition-related costs were comprised of consulting and legal fees incurred to perform due diligence, execute, and integrate acquisitions.</w:t>
      </w:r>
    </w:p>
    <w:p>
      <w:pPr>
        <w:spacing w:after="0" w:line="236" w:lineRule="exact"/>
        <w:rPr>
          <w:rFonts w:ascii="Arial" w:cs="Arial" w:eastAsia="Arial" w:hAnsi="Arial"/>
          <w:sz w:val="17"/>
          <w:szCs w:val="17"/>
          <w:color w:val="auto"/>
        </w:rPr>
      </w:pPr>
    </w:p>
    <w:p>
      <w:pPr>
        <w:jc w:val="both"/>
        <w:ind w:right="360" w:firstLine="8"/>
        <w:spacing w:after="0" w:line="26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and legal fees were comprised of a subset of the Company’s total consulting and legal fees during the nine months ended September 30, 2021 and 2020, and related to certain advisory projects and software implementations, and discrete legal fees related to debt financing and predecessor litigation matters.</w:t>
      </w:r>
    </w:p>
    <w:p>
      <w:pPr>
        <w:spacing w:after="0" w:line="183" w:lineRule="exact"/>
        <w:rPr>
          <w:rFonts w:ascii="Arial" w:cs="Arial" w:eastAsia="Arial" w:hAnsi="Arial"/>
          <w:sz w:val="18"/>
          <w:szCs w:val="18"/>
          <w:color w:val="auto"/>
        </w:rPr>
      </w:pPr>
    </w:p>
    <w:p>
      <w:pPr>
        <w:ind w:right="160" w:firstLine="8"/>
        <w:spacing w:after="0" w:line="26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net is comprised of severance expenses resulting from cost rationalization programs as well as temporary labor and recruiting expenses to build out corporate infrastructure during the nine months ended September 30, 2021 and 2020, respectively. During both periods, respectively, such expenses were partially offset by $1,022 and $978 of stimulus funds received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c>
          <w:tcPr>
            <w:tcW w:w="1140" w:type="dxa"/>
            <w:vAlign w:val="bottom"/>
            <w:gridSpan w:val="4"/>
          </w:tcPr>
          <w:p>
            <w:pPr>
              <w:ind w:left="3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3,178</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2,942</w:t>
            </w:r>
          </w:p>
        </w:tc>
        <w:tc>
          <w:tcPr>
            <w:tcW w:w="6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11,467%</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1,383</w:t>
            </w:r>
          </w:p>
        </w:tc>
        <w:tc>
          <w:tcPr>
            <w:tcW w:w="6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and management fees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460" w:type="dxa"/>
            <w:vAlign w:val="bottom"/>
            <w:gridSpan w:val="2"/>
          </w:tcPr>
          <w:p>
            <w:pPr>
              <w:spacing w:after="0" w:line="256" w:lineRule="exact"/>
              <w:rPr>
                <w:sz w:val="20"/>
                <w:szCs w:val="20"/>
                <w:color w:val="auto"/>
              </w:rPr>
            </w:pPr>
            <w:r>
              <w:rPr>
                <w:rFonts w:ascii="Arial" w:cs="Arial" w:eastAsia="Arial" w:hAnsi="Arial"/>
                <w:sz w:val="18"/>
                <w:szCs w:val="18"/>
                <w:color w:val="auto"/>
              </w:rPr>
              <w:t>Non-cash addbacks</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11,972</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6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11,348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1,819%</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5460" w:type="dxa"/>
            <w:vAlign w:val="bottom"/>
            <w:gridSpan w:val="2"/>
          </w:tcPr>
          <w:p>
            <w:pPr>
              <w:spacing w:after="0" w:line="256"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r>
      <w:tr>
        <w:trPr>
          <w:trHeight w:val="256"/>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Consulting and legal fees</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1,494</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r>
      <w:tr>
        <w:trPr>
          <w:trHeight w:val="270"/>
        </w:trPr>
        <w:tc>
          <w:tcPr>
            <w:tcW w:w="5460" w:type="dxa"/>
            <w:vAlign w:val="bottom"/>
            <w:gridSpan w:val="2"/>
          </w:tcPr>
          <w:p>
            <w:pPr>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9"/>
                <w:szCs w:val="29"/>
                <w:color w:val="auto"/>
                <w:vertAlign w:val="superscript"/>
              </w:rPr>
              <w:t>(4)</w:t>
            </w:r>
          </w:p>
        </w:tc>
        <w:tc>
          <w:tcPr>
            <w:tcW w:w="2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2,451</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2,921</w:t>
            </w:r>
          </w:p>
        </w:tc>
        <w:tc>
          <w:tcPr>
            <w:tcW w:w="66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8"/>
        <w:spacing w:after="0" w:line="311"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year ended December 31, 2020, non-cash addbacks were primarily comprised of a $7,500 impairment of notes receivable (as described further below), $4,233 of bad debts write-offs, and $239 of other miscellaneous charges. During the year ended December 31, 2019, non-cash addbacks were primarily comprised of $184 of deferred rent and tenant improvement allowances and $440 of other miscellaneous expenses.</w:t>
      </w:r>
    </w:p>
    <w:p>
      <w:pPr>
        <w:spacing w:after="0" w:line="148"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Acquisition-related costs were comprised of consulting and legal fees incurred to perform due diligence, execute and integrate acquisitions.</w:t>
      </w:r>
    </w:p>
    <w:p>
      <w:pPr>
        <w:spacing w:after="0" w:line="236" w:lineRule="exact"/>
        <w:rPr>
          <w:rFonts w:ascii="Arial" w:cs="Arial" w:eastAsia="Arial" w:hAnsi="Arial"/>
          <w:sz w:val="17"/>
          <w:szCs w:val="17"/>
          <w:color w:val="auto"/>
        </w:rPr>
      </w:pPr>
    </w:p>
    <w:p>
      <w:pPr>
        <w:ind w:right="40" w:firstLine="8"/>
        <w:spacing w:after="0" w:line="34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Consulting and legal fees were a subset of the Company’s total consulting and legal fees during the year ended December 31, 2020 and December 31, 2019, and related to certain advisory projects, software implementations, and discrete legal fees related to debt financing and predecessor litigation matters.</w:t>
      </w:r>
    </w:p>
    <w:p>
      <w:pPr>
        <w:spacing w:after="0" w:line="123" w:lineRule="exact"/>
        <w:rPr>
          <w:rFonts w:ascii="Arial" w:cs="Arial" w:eastAsia="Arial" w:hAnsi="Arial"/>
          <w:sz w:val="16"/>
          <w:szCs w:val="16"/>
          <w:color w:val="auto"/>
        </w:rPr>
      </w:pPr>
    </w:p>
    <w:p>
      <w:pPr>
        <w:ind w:right="20" w:firstLine="8"/>
        <w:spacing w:after="0" w:line="26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net is comprised of severance expenses resulting from cost rationalization programs and individually insignificant charges during the years ended December 31, 2020 and December 31, 2019, respectively. During the year ended December 31, 2020, such expenses were partially offset by $978 of stimulus funds received under the CARES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receive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(v) other third-party payors and managed care organizations (e.g., risk bearing organizations and independent practice associations (“IPAs”)); and (vi) individual patients and clients.</w:t>
      </w:r>
    </w:p>
    <w:p>
      <w:pPr>
        <w:spacing w:after="0" w:line="18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Revenue primarily consists of capitation revenue, fee-for-service (“FFS”) revenue, dispensary revenue, and clinical trials revenue. Capitation and FFS revenue comprise the revenues within the Company’s patient services segment and are presented together in the results of operations. The following paragraphs provide a summary of the principal forms of our billing arrangements and how revenue is recognized for each type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Capitation</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Capitation revenues consist primarily of fees for medical services provided by the TOI PCs to our patients under a capitated arrangement with various managed care organizations. Capitation revenue is paid monthly based on the number of enrollees by the contracted managed care organization (per member per month or “PMPM”). Capitation contracts generally have a legal term of one year or longer. Payments in capitation contracts are variable since they primarily include PMPM fees associated with unspecified membership that fluctuates throughout the term of the contract; however, based on our experience, our total underlying membership generally increases over time as penetration of MA products grows. Certain contracts include terms for a capitation deduction where the cost of out-of-network referrals of members are deducted from the future payment. Revenue is recognized in the month services are rendered on the basis of the transaction price established at that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Fee-for-Service Revenue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FFS revenue represents revenue earned under contracts in which we bill and collect for medical services rendered by the TOI PCs’ employed physicians. The terms for FFS contracts are short in duration and only last for the period over which services are rendered (typically, one day). FFS revenue consists of fees for medical services provided to patients. As specialist providers, our FFS revenue is dependent on referrals from other physicians, such as primary care physicians. Our affiliated providers build trusted, professional relationships with these physicians and their associated medical groups, which can lead to recurring FFS volume; however, this volume is subject to numerous factors we cannot control and can fluctuate over time. We also receive FFS revenue for capitated patients that receive medical services which are excluded from our capitation contracts. Under the FFS arrangements, third-party payors and patients are billed for patient care services provided by the TOI PCs. Payments for services provided are generally less than billed charges. We record revenue net of an allowance for contractual adjustments, which represents the net revenue expected to be collected from third-party payors (including managed care, commercial, and governmental payors such as Medicare and Medicaid), and patients. 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visit, the forwarding of such charts to our billing center for medical coding and entering into our billing system, and the verification of each patient’s submission or representation at the time services are rendered as to the payor(s) responsible for payment of such services. Revenue is recorded on the date the services are rendered based on the information known at the time of entering of such information into our billing systems as well as an estimate of the revenue associated with medical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Oral prescription drugs prescribed by doctors to their patients are sold directly through the TOI PCs’ dispensaries. Revenue for the prescriptions is based on fee schedules set by various PBMs and other third-party payors. The fee schedule is often subject to direct and indirect remuneration (“DIR”) fees, which are based primarily on pre-established metrics. DIR fees may be assessed in the periods after payments are received against future payments. We recognize revenue, deducted by estimated DIR fees, at the time the patient takes possession of the oral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Clinical Trials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TOI PCs also enter into contracts to perform clinical research trials. The terms for clinical trial contracts last many months as the clinical research is performed. Each contract represents a single, integrated set of research activities that are satisfied over time as the output of results from the trial is captured for the trial sponsor to review. Under the clinical trial contracts, the TOI PCs receive a fixed payment for administrative, set-up, and close-down fees; a fixed amount for each patient site visit; and certain expense reimbursements. We recognize revenue for these arrangements on the fees earned to date based on the state of the trial, as established under contract with the customer.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Cost of services primarily includes chemotherapy drug costs, clinician salaries and benefits, and medical supplies. Clinicians include oncologists, advanced practice providers such as physician assistants and nurse practitioners, and registered nurses employed by the TOI PCs.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Dispensary cost primarily includes the cost of oral medications dispensed in the TOI PCs’ clinic locations.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Selling, general and administrative expenses include employee-related expenses, including both clinic and field support staff as well as central administrative and corporate staff. These expenses include salaries and related costs and stock-based compensation for our executives and physicians. Our selling, general and administrative expenses also includes occupancy costs, technology infrastructure, operations, clinical and quality support, finance, legal, human resources, and business development. We expect our general and administrative expenses to increase over time following the consummation of the Business Combination due to the additional legal, accounting, insurance, investor relations and other costs that we will incur as a public company, as well as other costs associated with continuing to grow our business. We also expect our selling, general and administrative expenses to increase in absolute dollars in the foreseeable future. However, we anticipate selling, general and administrative expenses to decrease as a percentage of revenue over the long term, although they may fluctuate as a percentage of revenue from period to period due to the timing and amount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total revenues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5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25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160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3"/>
              </w:rPr>
              <w:t>Year Ended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5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September 30,</w:t>
            </w:r>
          </w:p>
        </w:tc>
        <w:tc>
          <w:tcPr>
            <w:tcW w:w="25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0"/>
              </w:rPr>
              <w:t>December 31,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4"/>
              </w:rPr>
              <w:t>2019</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Patient services</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63.1%</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62.8%</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61.3%</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62.8%</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62.3%</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Dispensary</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34.3%</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34.2%</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35.4%</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33.5%</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34.1%</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Clinical trials &amp; other</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2.6%</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3.3%</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3.7%</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 costs – patient services</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48.6%</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51.0%</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47.8%</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52.6%</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51.1%</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Direct costs – dispensary</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29.2%</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28.4%</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30.3%</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28.1%</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28.7%</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 costs – clinical trials &amp; other</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24.4%</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20.1%</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23.3%</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19.4%</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22.3%</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operating expenses</w:t>
            </w: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104.1%</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101.6%</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103.3%</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102.4%</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104.3%</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non-operating (income) expense</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Gain on debt extinguishment</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(3.4)%</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other non-operating (income) expense</w:t>
            </w: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(0.1)%</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(3.9)%</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4.8%</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Loss before provision for income taxes</w:t>
            </w: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(1.5)%</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(1.2)%</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0.2%</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3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8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1"/>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1"/>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5"/>
          </w:tcPr>
          <w:p>
            <w:pPr>
              <w:spacing w:after="0"/>
              <w:rPr>
                <w:sz w:val="20"/>
                <w:szCs w:val="20"/>
                <w:color w:val="auto"/>
              </w:rPr>
            </w:pPr>
            <w:r>
              <w:rPr>
                <w:rFonts w:ascii="Arial" w:cs="Arial" w:eastAsia="Arial" w:hAnsi="Arial"/>
                <w:sz w:val="18"/>
                <w:szCs w:val="18"/>
                <w:b w:val="1"/>
                <w:bCs w:val="1"/>
                <w:color w:val="231F20"/>
                <w:w w:val="91"/>
              </w:rPr>
              <w:t>Comparison of the Three and Nine Months Ended September 30, 2021 and 2020</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b w:val="1"/>
                <w:bCs w:val="1"/>
                <w:i w:val="1"/>
                <w:iCs w:val="1"/>
                <w:color w:val="231F20"/>
              </w:rPr>
              <w:t>Revenue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4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132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Patient services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32,967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Dispensary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17,918</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16,163</w:t>
            </w: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1,755</w:t>
            </w:r>
          </w:p>
        </w:tc>
        <w:tc>
          <w:tcPr>
            <w:tcW w:w="3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&amp; other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52,275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47,250</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4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132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Patient services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92,376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Dispensary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53,318</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46,347</w:t>
            </w: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6,971</w:t>
            </w:r>
          </w:p>
        </w:tc>
        <w:tc>
          <w:tcPr>
            <w:tcW w:w="3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&amp; other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150,699</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138,549</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services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increase in patient services revenue for the three months ended September 30, 2021 as compared to the three months ended September 30, 2020 was primarily due to a 14.8% increase in revenue related to capitated contracts. This increase in capitated revenue was partially offset by a decline in our FFS revenue of 3.7%, as a result of transitioning several FFS contracts to capitation.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patient services revenue for the nine months ended September 30, 2021 as compared to the nine months ended September 30, 2020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 15.1% increase in revenue related to capitated contracts that began in the fourth quarter of 2020 and continued throughout 2021.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capitated revenue was partially offset by a decline in our FFS revenue of 8.9%, as a result of transitioning several FFS contracts to capitation.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increase in dispensary revenue for the three months ended September 30, 2021 as compared to the three months ended September 30, 2020 was primarily due to a 13.4% increase in the average revenue per fill.</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increase in dispensary revenue for the nine months ended September 30, 2021 as compared to the nine months ended September 30, 2020 was primarily due to a 2.0% increase in the number of prescriptions filled and a 12.8% increase in the average revenue per fill.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&amp; other</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decrease in clinical trials and other revenue for the three months ended September 30, 2021 as compared to the three months ended September 30, 2020 was comprised of various miscellaneous sources of revenue, none of which are individually significant.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clinical trials and other revenue for the nine months ended September 30, 2021 as compared to the nine months ended September 30, 2020 was primarily due to a 16.2% decline in clinical trial revenue resulting from fewer visits due to COVID-19 restrictions and precautions being taken by our patients. This decline was partially offset by a 7.5% increase related to a profit sharing bonus received for one of our capitated contracts and an increase in various miscellaneous sources of revenue, none of which are individually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9"/>
            <w:vMerge w:val="restart"/>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9"/>
            <w:vMerge w:val="continue"/>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9"/>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5"/>
          </w:tcPr>
          <w:p>
            <w:pPr>
              <w:ind w:left="70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 patient services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Direct costs – dispensary</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15,279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13,432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1,847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 clinical trials &amp; other</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12,729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9,492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3,237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54,431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47,960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9"/>
          </w:tcPr>
          <w:p>
            <w:pPr>
              <w:ind w:left="22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4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Direct costs – patient services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Direct costs – dispensary</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45,639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38,896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6,743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 clinical trials &amp; other</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26,862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8"/>
                <w:szCs w:val="18"/>
                <w:color w:val="auto"/>
              </w:rPr>
            </w:pPr>
          </w:p>
        </w:tc>
        <w:tc>
          <w:tcPr>
            <w:tcW w:w="320" w:type="dxa"/>
            <w:vAlign w:val="bottom"/>
            <w:tcBorders>
              <w:top w:val="single" w:sz="8" w:color="auto"/>
            </w:tcBorders>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services cost</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increase in patient services cost for the three months ended September 30, 2021 as compared to the three months ended September 30, 2020 was primarily due to a 3.4% increase in intravenous drug costs, driven by our patient mix and volume, as well as 2.3% increase in clinical payroll costs due to the growth in clinic count.</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decrease in patient services cost for the nine months ended September 30, 2021 as compared to the nine months ended September 30, 2020 was primarily due to a 1.0% decline in intravenous drug costs, driven by our patient mix and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 cost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dispensary cost for the three months ended September 30, 2021 as compared to the three months ended September 30, 2020 was primarily due to a 16.3% increase in the average cost of the prescriptions filled.</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increase in dispensary cost for the nine months ended September 30, 2021 as compared to the nine months ended September 30, 2020 was primarily due to an increase of 2.0% in the number of prescriptions filled and an increase of 15.1% in the average cost of the prescriptions filled.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increase in selling, general and administrative expense for the three and nine months ended September 30, 2021 as compared to the three and nine months ended September 30, 2020 was primarily driven by an increase in salaries and benefits of 15.5% and 16.1% respectively, due to the growth in our management and corporate team. The remainder of the increases were primarily to support the continued growth of our business. These increased costs were offset by bad debt recoveries on our FFS accounts receivable of 2.5% of total selling, general and administrative expenses for the nine months ended September 30, 2021, due to better collections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jc w:val="center"/>
              <w:ind w:right="481"/>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0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7"/>
              </w:rPr>
              <w:t>September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Gain on debt extinguishment</w:t>
            </w:r>
          </w:p>
        </w:tc>
        <w:tc>
          <w:tcPr>
            <w:tcW w:w="30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Total other non-operating (income)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jc w:val="center"/>
              <w:ind w:right="501"/>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0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7"/>
              </w:rPr>
              <w:t>September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Gain on debt extinguishment</w:t>
            </w:r>
          </w:p>
        </w:tc>
        <w:tc>
          <w:tcPr>
            <w:tcW w:w="3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(5,186)</w:t>
            </w:r>
          </w:p>
        </w:tc>
        <w:tc>
          <w:tcPr>
            <w:tcW w:w="4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(5,186)</w:t>
            </w:r>
          </w:p>
        </w:tc>
        <w:tc>
          <w:tcPr>
            <w:tcW w:w="3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(1,126)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6,328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(7,454)</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Total other non-operating (income) expense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6,587</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interest expense for the three months ended September 30, 2021 as compared to the three months ended September 30, 2020 was due to the decline in our term loan balance due to scheduled amortization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debt extinguishment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gain on debt extinguishment for the nine months ended September 30, 2021 as compared to the nine months ended September 30, 2020 was a result of all PPPHCE Act loans being forgiven during Q2 2021. The gain includes the loan balance and related accrued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net</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increase in other, net for the three months ended September 30, 2021 as compared to the three months ended September 30, 2020 was driven by a decline in various miscellaneous expenses, none of which are individually significant, that occurred during the three months ended September 30, 2020.</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decrease in other, net for the nine months ended September 30, 2021 as compared to the nine months ended September 30, 2020 was primarily due to a loan provided in Q1 2020 to an independent oncology practice relating to the management services agreement entered into by the Company, pursuant to which we provide certain management services to the oncology practice, including value-based contracting services. Under the terms of the loan, the loan is to be forgiven in equal installments over five years as long as the management services agreement with the Company remains in effect. Given the probability of forgiveness is likely, we fully impaired the loan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Comparison of 2020 and 2019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4"/>
                <w:szCs w:val="24"/>
                <w:color w:val="auto"/>
              </w:rPr>
            </w:pPr>
          </w:p>
        </w:tc>
        <w:tc>
          <w:tcPr>
            <w:tcW w:w="1480" w:type="dxa"/>
            <w:vAlign w:val="bottom"/>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Patient services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63,890</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49,954</w:t>
            </w: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13,936</w:t>
            </w:r>
          </w:p>
        </w:tc>
        <w:tc>
          <w:tcPr>
            <w:tcW w:w="38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trials &amp; other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187,515</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155,405</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32,110</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services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patient services revenue was due to a 14.3% increase in our FFS revenue and 6.3% increase in capitated revenue, both of which resulted from new contract wins and an increase in the number of clinics.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dispensary revenue was primarily due to a 30.6% increase in the number of prescriptions filled and an increase of 27.9% in the average revenue per fill.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&amp; other</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decrease in clinical trial and other revenue was primarily due to a 12.5% decline in clinical trial visits, resulting from COVID-19 restrictions and precautions being taken by our patients.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4"/>
              </w:rPr>
              <w:t>Year Ended December 31,</w:t>
            </w:r>
          </w:p>
        </w:tc>
        <w:tc>
          <w:tcPr>
            <w:tcW w:w="360" w:type="dxa"/>
            <w:vAlign w:val="bottom"/>
          </w:tcPr>
          <w:p>
            <w:pPr>
              <w:spacing w:after="0"/>
              <w:rPr>
                <w:sz w:val="24"/>
                <w:szCs w:val="24"/>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Direct costs – patient services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Direct costs – dispensary</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53,907</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43,456</w:t>
            </w: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10,451</w:t>
            </w:r>
          </w:p>
        </w:tc>
        <w:tc>
          <w:tcPr>
            <w:tcW w:w="4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 clinical trials &amp; other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41,897</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29,644</w:t>
            </w: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12,253</w:t>
            </w:r>
          </w:p>
        </w:tc>
        <w:tc>
          <w:tcPr>
            <w:tcW w:w="4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195,711</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158,050</w:t>
            </w:r>
          </w:p>
        </w:tc>
        <w:tc>
          <w:tcPr>
            <w:tcW w:w="22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37,661</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services cost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increase in patient services cost was attributed to increases in intravenous drug costs of 11.1%, resulting from patient mix, as well as a 4.8% increase in clinical payroll resulting from new contract wins and increases in the number of clinics. The remaining increase in patient services cost is due to various, individually insignificant direct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 cost</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increase in dispensary cost was due to a 30.6% increase in the number of prescriptions filled, and a 24.0% increase in the average cost of the prescriptions filled. This cost increased slower than dispensary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increase in selling, general and administrative expenses was driven by an increase in salaries and benefits of 16.7% due to the growth in our management and corporate team and an increase in bad debt expense of 13.2% due to a write-down of our FFS accounts receivable. The remainder of the increases were primarily to support the continued growth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Expenses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6,271</w:t>
            </w:r>
          </w:p>
        </w:tc>
        <w:tc>
          <w:tcPr>
            <w:tcW w:w="5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6,281</w:t>
            </w:r>
          </w:p>
        </w:tc>
        <w:tc>
          <w:tcPr>
            <w:tcW w:w="4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(62,810.0)%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non-operating expense (income)</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(94,642.9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increase in interest expense was driven primarily by interest on the term loan that was entered into in February 2020. Prior to that, the Company did not have any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increase in other, net was driven primarily by a loan provided to an independent oncology practice relating to the management services agreement entered into by the Company, pursuant to which we provide certain management services to the oncology practice, including value-based contracting services. Under the terms of the loan, the loan is to be forgiven in equal installments over five years as long as the management services agreement with the Company remains in effect. Given the probability of forgiveness is likely the Company fully impaired the loan in 2020. This impairment was offset by 15.6% in stimulus funds received as part of the CARES Act that the TOI PCs are not obligated to repay.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date, we have financed our operations principally through private placements of our equity securities and payments received from various payors. On February 26, 2020, we entered into a credit agreement with MUFG Union Bank (“Credit Agreement”), which allows us to borrow up to an aggregate principal amount of $10,000 in the form of term loans, revolving credit commitments, and a letter of credit facility. The term loans and the Revolver bears interest at base rate plus the applicable margin or LIBOR rate plus the applicable margin. As of September 30, 2021, we had $11,532 of cash and $5,125 outstanding under our Credit Agreement.</w:t>
      </w:r>
    </w:p>
    <w:p>
      <w:pPr>
        <w:spacing w:after="0" w:line="18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may incur operating losses and generate negative cash flows from operations for the foreseeable future due to the investments we intend to continue to make in expanding our operations and sales and marketing and due to additional general and administrative expenses we expect to incur in connection with operating as a public company. As a result, we may require additional capital resources to execute strategic initiatives to grow our business.</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that following the Business Combination, our cash and cash equivalents will be sufficient to fund our operating and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open or acquire new clinics and expand into new markets and the expansion of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our consolidated cash flows from operating, investing, and financing activities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Nine Months Ended</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(8,486)</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11,937</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increase in cash</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5,534</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4,835</w:t>
            </w:r>
          </w:p>
        </w:tc>
        <w:tc>
          <w:tcPr>
            <w:tcW w:w="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at beginning of period</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2,446</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at end of period</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4"/>
          </w:tcPr>
          <w:p>
            <w:pPr>
              <w:jc w:val="right"/>
              <w:ind w:right="541"/>
              <w:spacing w:after="0"/>
              <w:rPr>
                <w:sz w:val="20"/>
                <w:szCs w:val="20"/>
                <w:color w:val="auto"/>
              </w:rPr>
            </w:pPr>
            <w:r>
              <w:rPr>
                <w:rFonts w:ascii="Arial" w:cs="Arial" w:eastAsia="Arial" w:hAnsi="Arial"/>
                <w:sz w:val="18"/>
                <w:szCs w:val="18"/>
                <w:b w:val="1"/>
                <w:bCs w:val="1"/>
                <w:color w:val="auto"/>
              </w:rPr>
              <w:t>Year Ended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vMerge w:val="restart"/>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8"/>
                <w:szCs w:val="18"/>
                <w:b w:val="1"/>
                <w:bCs w:val="1"/>
                <w:color w:val="auto"/>
                <w:w w:val="97"/>
              </w:rPr>
              <w:t>December 31,</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(8,844)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(1,205)</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11,887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(594,450.0)%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increase (decrease) in cash</w:t>
            </w: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2,408</w:t>
            </w:r>
          </w:p>
        </w:tc>
        <w:tc>
          <w:tcPr>
            <w:tcW w:w="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1,143</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at beginning of year</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6,510.8%</w:t>
            </w:r>
          </w:p>
        </w:tc>
        <w:tc>
          <w:tcPr>
            <w:tcW w:w="0" w:type="dxa"/>
            <w:vAlign w:val="bottom"/>
          </w:tcPr>
          <w:p>
            <w:pPr>
              <w:spacing w:after="0"/>
              <w:rPr>
                <w:sz w:val="1"/>
                <w:szCs w:val="1"/>
                <w:color w:val="auto"/>
              </w:rPr>
            </w:pPr>
          </w:p>
        </w:tc>
      </w:tr>
      <w:tr>
        <w:trPr>
          <w:trHeight w:val="209"/>
        </w:trPr>
        <w:tc>
          <w:tcPr>
            <w:tcW w:w="46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at end of year</w:t>
            </w:r>
          </w:p>
        </w:tc>
        <w:tc>
          <w:tcPr>
            <w:tcW w:w="920" w:type="dxa"/>
            <w:vAlign w:val="bottom"/>
            <w:tcBorders>
              <w:top w:val="single" w:sz="8" w:color="auto"/>
            </w:tcBorders>
          </w:tcPr>
          <w:p>
            <w:pPr>
              <w:jc w:val="right"/>
              <w:ind w:right="76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impacting net cash used in operating activities for the nine months ended September 30, 2021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were as follows:</w:t>
      </w:r>
    </w:p>
    <w:p>
      <w:pPr>
        <w:spacing w:after="0" w:line="211" w:lineRule="exact"/>
        <w:rPr>
          <w:sz w:val="20"/>
          <w:szCs w:val="20"/>
          <w:color w:val="auto"/>
        </w:rPr>
      </w:pPr>
    </w:p>
    <w:p>
      <w:pPr>
        <w:jc w:val="both"/>
        <w:ind w:left="780" w:hanging="327"/>
        <w:spacing w:after="0" w:line="263"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improved $8,733 during the nine months ended September 30, 2021 as compared to the nine months ended September 30, 2020 primarily due to the gain extinguishment of debt and bad debt recoveries in the second quarter of 2021 and the impairment on the note receivable of $7,500 in the first quarter of 2020 offset by a $2,649 change in deferred taxes;</w:t>
      </w:r>
    </w:p>
    <w:p>
      <w:pPr>
        <w:spacing w:after="0" w:line="183" w:lineRule="exact"/>
        <w:rPr>
          <w:rFonts w:ascii="Arial" w:cs="Arial" w:eastAsia="Arial" w:hAnsi="Arial"/>
          <w:sz w:val="18"/>
          <w:szCs w:val="18"/>
          <w:color w:val="auto"/>
        </w:rPr>
      </w:pPr>
    </w:p>
    <w:p>
      <w:pPr>
        <w:jc w:val="both"/>
        <w:ind w:left="780" w:hanging="327"/>
        <w:spacing w:after="0" w:line="263"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provided by accounts payable, accrued expenses and income taxes payable increased $5,013 for the nine months ended September 30, 2021 as compared to the nine months ended September 30, 2020 primarily due to a growth in accounts payable as a result of the growth in our business;</w:t>
      </w:r>
    </w:p>
    <w:p>
      <w:pPr>
        <w:spacing w:after="0" w:line="183" w:lineRule="exact"/>
        <w:rPr>
          <w:rFonts w:ascii="Arial" w:cs="Arial" w:eastAsia="Arial" w:hAnsi="Arial"/>
          <w:sz w:val="18"/>
          <w:szCs w:val="18"/>
          <w:color w:val="auto"/>
        </w:rPr>
      </w:pPr>
    </w:p>
    <w:p>
      <w:pPr>
        <w:ind w:left="780" w:hanging="327"/>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used by accounts receivable increased $52 for the nine months ended September 30, 2021 as compared to the nine months ended September 30, 2020 due to the growth in our business;</w:t>
      </w:r>
    </w:p>
    <w:p>
      <w:pPr>
        <w:spacing w:after="0" w:line="170" w:lineRule="exact"/>
        <w:rPr>
          <w:rFonts w:ascii="Arial" w:cs="Arial" w:eastAsia="Arial" w:hAnsi="Arial"/>
          <w:sz w:val="18"/>
          <w:szCs w:val="18"/>
          <w:color w:val="auto"/>
        </w:rPr>
      </w:pPr>
    </w:p>
    <w:p>
      <w:pPr>
        <w:ind w:left="780" w:hanging="327"/>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used by inventory increased $557 for the nine months ended September 30, 2021 as compared to the nine months ended September 30, 2020 due to the growth in our business; and</w:t>
      </w:r>
    </w:p>
    <w:p>
      <w:pPr>
        <w:spacing w:after="0" w:line="170" w:lineRule="exact"/>
        <w:rPr>
          <w:rFonts w:ascii="Arial" w:cs="Arial" w:eastAsia="Arial" w:hAnsi="Arial"/>
          <w:sz w:val="18"/>
          <w:szCs w:val="18"/>
          <w:color w:val="auto"/>
        </w:rPr>
      </w:pPr>
    </w:p>
    <w:p>
      <w:pPr>
        <w:ind w:left="780" w:right="20" w:hanging="327"/>
        <w:spacing w:after="0" w:line="34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used by prepaid and other current assets increased $8,080 for the nine months ended September 30, 2021 as compared to the nine months ended September 30, 2020 due to costs incurred in association with the SPAC transaction that are deferred until the transaction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right="360"/>
        <w:spacing w:after="0" w:line="277" w:lineRule="auto"/>
        <w:rPr>
          <w:sz w:val="20"/>
          <w:szCs w:val="20"/>
          <w:color w:val="auto"/>
        </w:rPr>
      </w:pPr>
      <w:r>
        <w:rPr>
          <w:rFonts w:ascii="Arial" w:cs="Arial" w:eastAsia="Arial" w:hAnsi="Arial"/>
          <w:sz w:val="18"/>
          <w:szCs w:val="18"/>
          <w:color w:val="auto"/>
        </w:rPr>
        <w:t>Significant changes impacting net cash used in operating activities for the year ended December 31, 2020 as compared to the year ended December 31, 2019 were as follows:</w:t>
      </w:r>
    </w:p>
    <w:p>
      <w:pPr>
        <w:spacing w:after="0" w:line="170" w:lineRule="exact"/>
        <w:rPr>
          <w:sz w:val="20"/>
          <w:szCs w:val="20"/>
          <w:color w:val="auto"/>
        </w:rPr>
      </w:pPr>
    </w:p>
    <w:p>
      <w:pPr>
        <w:ind w:left="780" w:right="20" w:hanging="327"/>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increased $10,300 from 2020 as compared to 2019 primarily due to the impairment on the note receivable of $7,500, an increase in bad debt expense of $3,906 and an increase in deferred income taxes;</w:t>
      </w:r>
    </w:p>
    <w:p>
      <w:pPr>
        <w:spacing w:after="0" w:line="170" w:lineRule="exact"/>
        <w:rPr>
          <w:rFonts w:ascii="Arial" w:cs="Arial" w:eastAsia="Arial" w:hAnsi="Arial"/>
          <w:sz w:val="18"/>
          <w:szCs w:val="18"/>
          <w:color w:val="auto"/>
        </w:rPr>
      </w:pPr>
    </w:p>
    <w:p>
      <w:pPr>
        <w:ind w:left="780" w:hanging="327"/>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provided by accounts payable and accrued expenses increased $670 for 2020 as compared to 2019 due to increases in cost of services and selling, general and administrative expenses;</w:t>
      </w:r>
    </w:p>
    <w:p>
      <w:pPr>
        <w:spacing w:after="0" w:line="170" w:lineRule="exact"/>
        <w:rPr>
          <w:rFonts w:ascii="Arial" w:cs="Arial" w:eastAsia="Arial" w:hAnsi="Arial"/>
          <w:sz w:val="18"/>
          <w:szCs w:val="18"/>
          <w:color w:val="auto"/>
        </w:rPr>
      </w:pPr>
    </w:p>
    <w:p>
      <w:pPr>
        <w:ind w:left="780" w:hanging="327"/>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used by accounts receivable increased $2,433 for 2020 as compared to 2019 due to an increase in revenues; and</w:t>
      </w:r>
    </w:p>
    <w:p>
      <w:pPr>
        <w:spacing w:after="0" w:line="225" w:lineRule="exact"/>
        <w:rPr>
          <w:rFonts w:ascii="Arial" w:cs="Arial" w:eastAsia="Arial" w:hAnsi="Arial"/>
          <w:sz w:val="18"/>
          <w:szCs w:val="18"/>
          <w:color w:val="auto"/>
        </w:rPr>
      </w:pPr>
    </w:p>
    <w:p>
      <w:pPr>
        <w:ind w:left="780" w:hanging="327"/>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used by prepaid expenses and other current assets increased $1,135 for 2020 as compared to 2019 due to an increase in software projects used to support the growth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cash used in investing activities decreased for the nine months ended September 30, 2021 as compared to the nine months ended September 30, 2020 due to the issuance of a $7,500 note receivable in the first quarter of 2020, offset by increases in purchases of property and equipment of $1,140 due to new clinic build-outs and existing clinic remodels and cash used for acquisitions of $677.</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investing activities increased in 2020 as compared to 2019 due to the issuance of a $7,500 note receivable and cash used for acquisitions of $150.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from financing activities primarily relates to borrowings under our Credit Agreement, principal payments on the Credit Agreement, and capital raises. As of September 30, 2021, we have borrowed $7,500 in the form of a term loan and made principal payments of $2,375.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principal commitments consist of the Credit Agreement, operating leases and capital leases. Based on the results of the current quarter, we will be in violation of the senior leverage ratio covenant within the Credit Agreement, however, we will pay the remaining principal and interest in the upcoming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certain outside claims and litigation arising out of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qualify as an “emerging growth company,” as defined in Section 2(a) of the Securities Act of 1933, as modified by the Jumpstart Our Business Startups Act of 2012 (the “JOBS Act”), and may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prepare our financial statements in accordance with U.S. GAAP, which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or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consolidate entities for which we have a variable interest and are determined to be the primary beneficiary. The Company holds variable interests in the TOI PCs, comprised of The Oncology Institute, A Professional Corporation (“TOI CA”) and The Oncology Institute FL, LLC (“TOI FL”), which the Company cannot legally own due to jurisdictional laws governing the corporate practice of medicine. The TOI PCs employ physicians and other clinicians in order to provide professional services to patients of our managed clinics, and under substantially similar MSAs, we serve as the exclusive manager and administrator of the TOI PCs’ non-medical functions and services. The TOI PCs are considered variable interest entities (“VIEs”) as they do not have sufficient equity to finance their activities without additional financial support from the Company. An enterprise having a controlling financial interest in a VIE must consolidate the VIE if it has both power and benefits — that is, it has (1) the power to direct the activities of a VIE that most significantly impacts the VIE’s economic performance (power), and (2) the obligation to absorb the losses of the VIE that potentially could be significant to the VIE or the right to receive benefits from the VIE that potentially could be significant to the VIE (benefits). We have the power to control all financial activities of the TOI PCs, the rights to receive substantially all benefits from the VIEs, and appropriately consolidates the TOI PCs. Revenues, expenses, and income from the TOI PCs are included in the consolidated amounts as presented on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account for all transactions that represent business combinations using the acquisition method of accounting. As such, the identifiable assets acquired, the liabilities assumed, and any noncontrolling interest in the acquired entity are recognized and measured at their fair values on the date we obtain control. Such fair values that are not finalized for reporting periods following the acquisition date are estimated and recorded as provisional amounts. Adjustments to these provisional amounts during the measurement period are recorded when identified. Goodwill is determined as the excess of the fair value of the consideration exchanged in the acquisition over the fair value of the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present the financial statements by segment in accordance with the relevant accounting literature to provide investors with transparency into how the chief operating decision maker (“CODM”) manages the business. Our CODM is our Chief Executive Officer. The CODM reviews financial information and allocates resources across three operating segments: dispensary, patient care, and clinical trials &amp; other.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 consolidated revenue based upon the principle of the transfer of control of our goods and services to customers in an amount that reflects the consideration we expect to be entitled. This principle is achieved through applying the following five-step approach:</w:t>
      </w:r>
    </w:p>
    <w:p>
      <w:pPr>
        <w:spacing w:after="0" w:line="170" w:lineRule="exact"/>
        <w:rPr>
          <w:sz w:val="20"/>
          <w:szCs w:val="20"/>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Consolidated revenue primarily consists of capitation revenue, fee-for-service (FFS) revenue, dispensary revenue, and clinical trials revenue. Revenue is recognized in the period in which services are rendered or the period in which the TOI PCs are obligated to provide services. The form of billing and related risk of collection for such services may vary by type of revenue and the payor. The following paragraphs provide a summary of the principal forms of billing arrangements and how revenue is recognized for each.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Capitation</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Capitation contracts have a single performance obligation that is a stand ready obligation to perform specified healthcare services to the population of enrolled members and constitutes a series for the provision of managed healthcare services for the term of the contract, which is deemed to be one month since the mix of patient-customers can and do change month over month. The transaction price for capitation contracts is variable as it primarily includes PMPM fees associated with unspecified membership that fluctuates throughout the term of the contract. Further, we adjust the transaction price for capitation deductions based on historical experience. Revenue is recognized in the month services are rendered on the basis of the transaction price established at that time. If subsequent information resolves uncertainties related to the transaction price, adjustments will be recognized in the period they are resolved. When payment has been received but services have not yet been rendered, the payment is recognized as a contract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For Service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FFS revenue consists of fees for medical services actually provided to patients. These medical services are distinct since the patient can benefit from the medical services on their own. Each service constitutes a single performance obligation for which the patient accepts and receives the benefit of the medical services as they are performed.</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transaction price from FFS arrangements is variable in nature because fees are based on patient encounters, credits due to patients, and reimbursement of provider costs, all of which can vary from period to period. We estimate the transaction price using the most likely methodology and amounts are only included in the net transaction price to the extent that it is probable that a significant reversal of cumulative revenue will not occur once any uncertainty is resolved. As a practical expedient, the Company adopted a portfolio approach to determine the transaction price for the medical services provided under FFS arrangements. Under this approach, the Company bifurcated the types of services provided and grouped health plans with similar fees and negotiated payment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280"/>
        <w:spacing w:after="0" w:line="277" w:lineRule="auto"/>
        <w:rPr>
          <w:sz w:val="20"/>
          <w:szCs w:val="20"/>
          <w:color w:val="auto"/>
        </w:rPr>
      </w:pPr>
      <w:r>
        <w:rPr>
          <w:rFonts w:ascii="Arial" w:cs="Arial" w:eastAsia="Arial" w:hAnsi="Arial"/>
          <w:sz w:val="18"/>
          <w:szCs w:val="18"/>
          <w:color w:val="auto"/>
        </w:rPr>
        <w:t>At these levels, portfolios share the characteristics conducive to ensuring that the results do not materially differ from the standard applied to individual patient contracts related to each medical service provided.</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Revenue is recorded on the date the services are rendered based on the information known at the time of entering of such information into our billing systems as well as an estimate of the revenue associated with medical services. When the performance obligation is not satisfied, the billing is recognized as a contract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Dispensary</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Dispensed prescriptions that are filled and delivered to the patient are considered a distinct performance obligation. The transaction price for the prescriptions is based on fee schedules set by PBMs and other third-party payors. The fee schedule is often subject to DIR fees, which are based primarily on pre-established metrics. DIR fees may be assessed in periods after payments are received against future payments. We estimate DIR fees to arrive at the transaction price for prescriptions. Revenue is recognized based on the transaction at the time the patient takes possession of the oral drug.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Research</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research contracts represent a single, integrated set of research activities and thus are a single performance obligation. The performance obligation is satisfied over time as the output is captured in data and documentation that is available for the customer to consume over the course of arrangement and furthers progress of the clinical trial. We have elected to recognize revenue for clinical trials using the ‘as-invoiced’ practical expedient. The customer is invoiced periodically based on the progress of the trial such that each invoice captures the revenue earned to date based on the state of the trial as established under contract with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of Sales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Direct cost of sales primarily consists of wages paid to clinical personnel and other health professionals, oral and IV drug costs, and other medical supplies used to provide patient care. Costs for clinical personnel wages are expensed as incurred and costs for inventory and medical supplies are expensed when used, generally by applying the specific identification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Lease agreements are evaluated to determine whether they are capital or operating leases. Capital leases are capitalized at the lower of the net present value of the total amount payable under the leasing agreement (excluding finance charges) or the fair market value of the leased asset. Capital lease assets are depreciated on a straight-line basis, over a period consistent with our normal depreciation policy for tangible fixed assets. We allocate each lease payment between a reduction of the lease obligation and interest expense using the effective interest method. Rent expense for operating leases, which may include free rent or fixed escalation amounts in addition to minimum lease payments, is recognized on a straight-line basis over the duration of the lease term. We report the current and long-term portions of capital lease obligations within accrued expenses and other current liabilities and other non-current liabilities, respectively, on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not amortized but is required to be evaluated for impairment at the same time every year. We perform annual testing of impairment for goodwill in the fourth quarter of each year.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Finite-lived intangible assets are stated at acquisition-date fair value. Intangible assets are amortized using the straight-line method. Finite-lived intangible assets are reviewed for impairment whenever events or changes in circumstances indicate that the carrying amount of an asset may not be recoverable. When circumstances indicate that recoverability may be impaired, we assess its ability to recover the carrying value of the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Fair value is determined based on appropriate valuation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debt net of debt issuance costs. Debt issuance costs are capitalized, netted against the related debt for presentation purposes, and amortized to interest expense over the terms of the related debt using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Financial Accounting Standards Board (“FASB”) issued Accounting Standards Update No. 2016-02, Leases (Topic 842) (“ASU 2016-02”), which amends the existing accounting standards for leases. The new standard requires lessees to record a right-of-use (“ROU”) asset and a corresponding lease liability on the balance sheet (with the exception of short-term leases), whereas under current accounting standards our lease portfolio consists primarily of operating leases and is not recognized on its consolidated balance sheets. We will adopt ASC 842 effective January 1, 2022, using the alternative modified transition method and will record a cumulative-effect adjustment to the opening balance of retained earnings as of that date. Prior periods will not be restated. We believe the largest impact will be on the consolidated balance sheets for the accounting of facilities-related leases, which represents a majority of its operating leases it has entered into as a lessee. These leases will be recognized under the new standard as ROU assets and operating lease liabilities. We will also provide expanded disclosures for its leasing arrangements. The results of operations are not expected to significantly change after adoption of the new standard.</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2016, the FASB issued Accounting Standards Update 2016-13, Measurement of Credit Losses on Financial Instruments (“ASU 2016-13”), which changes the way entities recognize impairment of many financial assets by requiring immediate recognition of estimated credit losses expected to occur over their remaining life, instead of when incurred. In November 2018, the FASB issued Accounting Standard Update 2018-19, Codification Improvements to Topic 326, Financial Instruments — Credit Losses (“ASU 2018-19”), which amends Subtopic 326-20 (created by ASU 2016-13) to explicitly state that operating lease receivables are not in the scope of Subtopic 326-20. Additionally, in April 2019, the FASB issued Accounting Standard Update 2019-04, Codification Improvements to Topic 326, Financial Instruments — Credit Losses, Topic 815, Derivatives and Hedging, and Topic 825, Financial Instruments (“ASU 2019-04”), in May 2019, the FASB issued Accounting Standards Update 2019-05, Financial Instruments — Credit Losses (Topic 326): Targeted Transition Relief (“ASU 2019-05”), and in November 2019, the FASB issued Accounting Standards Update 2019-10, Financial Instruments — Credit Losses (Topic 326), Derivatives and Hedging (Topic 815), and Leases (Topic 842): Effective Dates, and ASU 2019-11, Codification Improvements to Topic 326, Financial Instruments — Credit Losses (“ASU 2019-10”), to provide further clarifications on certain aspects of ASU 2016-13 and to extend the nonpublic entity effective date of ASU 2016-13. The changes (as amended) are effective for us for annual and interim periods in fiscal years beginning after December 15, 2022. The entity may early adopt ASU 2016-13, as amended, for annual and interim periods in fiscal years beginning after December 15, 2018. While we expect our allowance for credit losses to increase upon adoption of ASU 2016-13, we do not expect the adoption of ASU 2016-13 to have a material effect on our consolidated financial statements.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2019, the FASB issued ASU 2019-12, Simplifying the Accounting for Income Taxes (“ASU 2019-12”), which amends ASC 740, Income Taxes. This new standard is intended to simplify accounting for income taxes by removing certain exceptions to the general principles in ASC 740 and amending existing guidance to improve consistent application of ASC 740. The new standard is effective for us beginning January 1, 2022. The guidance in the new standard has various elements, some of which are applied on a prospective basis and others on a retrospective basis with earlier application permitted. We are currently evaluating the effect of this ASU on our condensed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Management’s discussion and analysis of the quantitative and qualitative disclosures about market risk is included in the Proxy Statement/Prospectus in the section titled “</w:t>
      </w:r>
      <w:r>
        <w:rPr>
          <w:rFonts w:ascii="Arial" w:cs="Arial" w:eastAsia="Arial" w:hAnsi="Arial"/>
          <w:sz w:val="18"/>
          <w:szCs w:val="18"/>
          <w:i w:val="1"/>
          <w:iCs w:val="1"/>
          <w:color w:val="auto"/>
        </w:rPr>
        <w:t>Management’s Discussion and Analysis of Financial Condition and Results of Operations of TOI—Quantitative and Qualitative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Market Risk</w:t>
      </w:r>
      <w:r>
        <w:rPr>
          <w:rFonts w:ascii="Arial" w:cs="Arial" w:eastAsia="Arial" w:hAnsi="Arial"/>
          <w:sz w:val="18"/>
          <w:szCs w:val="18"/>
          <w:color w:val="auto"/>
        </w:rPr>
        <w:t>” beginning on page 197, which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Company’s facilities are described in the Proxy Statement/Prospectus in the section titled “</w:t>
      </w:r>
      <w:r>
        <w:rPr>
          <w:rFonts w:ascii="Arial" w:cs="Arial" w:eastAsia="Arial" w:hAnsi="Arial"/>
          <w:sz w:val="18"/>
          <w:szCs w:val="18"/>
          <w:i w:val="1"/>
          <w:iCs w:val="1"/>
          <w:color w:val="auto"/>
        </w:rPr>
        <w:t>Business of TOI—Properties</w:t>
      </w:r>
      <w:r>
        <w:rPr>
          <w:rFonts w:ascii="Arial" w:cs="Arial" w:eastAsia="Arial" w:hAnsi="Arial"/>
          <w:sz w:val="18"/>
          <w:szCs w:val="18"/>
          <w:color w:val="auto"/>
        </w:rPr>
        <w:t>” on page 196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sets forth the beneficial ownership of Common Stock following the consummation of the Business Combination and the PIPE Investment by:</w:t>
      </w:r>
    </w:p>
    <w:p>
      <w:pPr>
        <w:spacing w:after="0" w:line="170" w:lineRule="exact"/>
        <w:rPr>
          <w:sz w:val="20"/>
          <w:szCs w:val="20"/>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shares of Common Stock;</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TOI’s current named executive officers and directors; and</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current executive officers and directors of TOI as a group.</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Unless otherwise indicated, TOI believes that all persons named in the table below have sole voting and investment power with respect to the voting securities beneficially owned by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34"/>
        </w:trPr>
        <w:tc>
          <w:tcPr>
            <w:tcW w:w="8360" w:type="dxa"/>
            <w:vAlign w:val="bottom"/>
            <w:gridSpan w:val="2"/>
            <w:vMerge w:val="continue"/>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210"/>
        </w:trPr>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5% Holders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TOI HC I, LLC </w:t>
            </w:r>
            <w:r>
              <w:rPr>
                <w:rFonts w:ascii="Arial" w:cs="Arial" w:eastAsia="Arial" w:hAnsi="Arial"/>
                <w:sz w:val="29"/>
                <w:szCs w:val="29"/>
                <w:color w:val="auto"/>
                <w:vertAlign w:val="superscript"/>
              </w:rPr>
              <w:t>(1)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15,662,794</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M33 Growth I L.P. </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15,256,383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6"/>
        </w:trPr>
        <w:tc>
          <w:tcPr>
            <w:tcW w:w="8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FMR LLC </w:t>
            </w:r>
            <w:r>
              <w:rPr>
                <w:rFonts w:ascii="Arial" w:cs="Arial" w:eastAsia="Arial" w:hAnsi="Arial"/>
                <w:sz w:val="29"/>
                <w:szCs w:val="29"/>
                <w:color w:val="auto"/>
                <w:vertAlign w:val="superscript"/>
              </w:rPr>
              <w:t>(3)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12,000,000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Jimmy Holdings, Inc. </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7,642,253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6"/>
        </w:trPr>
        <w:tc>
          <w:tcPr>
            <w:tcW w:w="8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FOG Ventures Investments, LLC </w:t>
            </w:r>
            <w:r>
              <w:rPr>
                <w:rFonts w:ascii="Arial" w:cs="Arial" w:eastAsia="Arial" w:hAnsi="Arial"/>
                <w:sz w:val="29"/>
                <w:szCs w:val="29"/>
                <w:color w:val="auto"/>
                <w:vertAlign w:val="superscript"/>
              </w:rPr>
              <w:t>(5)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4,634,908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OncologyCare Partners, LLC </w:t>
            </w:r>
            <w:r>
              <w:rPr>
                <w:rFonts w:ascii="Arial" w:cs="Arial" w:eastAsia="Arial" w:hAnsi="Arial"/>
                <w:sz w:val="29"/>
                <w:szCs w:val="29"/>
                <w:color w:val="auto"/>
                <w:vertAlign w:val="superscript"/>
              </w:rPr>
              <w:t>(6)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4,109,771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8360" w:type="dxa"/>
            <w:vAlign w:val="bottom"/>
            <w:gridSpan w:val="2"/>
          </w:tcPr>
          <w:p>
            <w:pPr>
              <w:spacing w:after="0" w:line="256" w:lineRule="exact"/>
              <w:rPr>
                <w:sz w:val="20"/>
                <w:szCs w:val="20"/>
                <w:color w:val="auto"/>
              </w:rPr>
            </w:pPr>
            <w:r>
              <w:rPr>
                <w:rFonts w:ascii="Arial" w:cs="Arial" w:eastAsia="Arial" w:hAnsi="Arial"/>
                <w:sz w:val="18"/>
                <w:szCs w:val="18"/>
                <w:i w:val="1"/>
                <w:iCs w:val="1"/>
                <w:color w:val="auto"/>
              </w:rPr>
              <w:t xml:space="preserve">Directors and Executive Officers </w:t>
            </w:r>
            <w:r>
              <w:rPr>
                <w:rFonts w:ascii="Arial" w:cs="Arial" w:eastAsia="Arial" w:hAnsi="Arial"/>
                <w:sz w:val="29"/>
                <w:szCs w:val="29"/>
                <w:i w:val="1"/>
                <w:iCs w:val="1"/>
                <w:color w:val="auto"/>
                <w:vertAlign w:val="superscript"/>
              </w:rPr>
              <w:t>(7)</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Brad Hively </w:t>
            </w:r>
            <w:r>
              <w:rPr>
                <w:rFonts w:ascii="Arial" w:cs="Arial" w:eastAsia="Arial" w:hAnsi="Arial"/>
                <w:sz w:val="29"/>
                <w:szCs w:val="29"/>
                <w:color w:val="auto"/>
                <w:vertAlign w:val="superscript"/>
              </w:rPr>
              <w:t>(8)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922,516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8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Daniel Virnich </w:t>
            </w:r>
            <w:r>
              <w:rPr>
                <w:rFonts w:ascii="Arial" w:cs="Arial" w:eastAsia="Arial" w:hAnsi="Arial"/>
                <w:sz w:val="29"/>
                <w:szCs w:val="29"/>
                <w:color w:val="auto"/>
                <w:vertAlign w:val="superscript"/>
              </w:rPr>
              <w:t>(9)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425,089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Scott Dalgleish </w:t>
            </w:r>
            <w:r>
              <w:rPr>
                <w:rFonts w:ascii="Arial" w:cs="Arial" w:eastAsia="Arial" w:hAnsi="Arial"/>
                <w:sz w:val="29"/>
                <w:szCs w:val="29"/>
                <w:color w:val="auto"/>
                <w:vertAlign w:val="superscript"/>
              </w:rPr>
              <w:t>(10)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215,403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Yale Podnos </w:t>
            </w:r>
            <w:r>
              <w:rPr>
                <w:rFonts w:ascii="Arial" w:cs="Arial" w:eastAsia="Arial" w:hAnsi="Arial"/>
                <w:sz w:val="29"/>
                <w:szCs w:val="29"/>
                <w:color w:val="auto"/>
                <w:vertAlign w:val="superscript"/>
              </w:rPr>
              <w:t>(11)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64,527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Richard Barasch </w:t>
            </w:r>
            <w:r>
              <w:rPr>
                <w:rFonts w:ascii="Arial" w:cs="Arial" w:eastAsia="Arial" w:hAnsi="Arial"/>
                <w:sz w:val="29"/>
                <w:szCs w:val="29"/>
                <w:color w:val="auto"/>
                <w:vertAlign w:val="superscript"/>
              </w:rPr>
              <w:t>(12)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85,113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Karen Johnson</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Mohit Kaushal </w:t>
            </w:r>
            <w:r>
              <w:rPr>
                <w:rFonts w:ascii="Arial" w:cs="Arial" w:eastAsia="Arial" w:hAnsi="Arial"/>
                <w:sz w:val="29"/>
                <w:szCs w:val="29"/>
                <w:color w:val="auto"/>
                <w:vertAlign w:val="superscript"/>
              </w:rPr>
              <w:t>(13)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25,534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Anne McGeorge</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Ravi Sarin </w:t>
            </w:r>
            <w:r>
              <w:rPr>
                <w:rFonts w:ascii="Arial" w:cs="Arial" w:eastAsia="Arial" w:hAnsi="Arial"/>
                <w:sz w:val="29"/>
                <w:szCs w:val="29"/>
                <w:color w:val="auto"/>
                <w:vertAlign w:val="superscript"/>
              </w:rPr>
              <w:t>(6)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4,109,771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(10 individuals)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5,202,539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452" w:right="180" w:hanging="452"/>
        <w:spacing w:after="0" w:line="279" w:lineRule="auto"/>
        <w:tabs>
          <w:tab w:leader="none" w:pos="4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Havencrest Healthcare Partners, L.P. (“Havencrest”) and its general partner, Havencrest Healthcare Partners GP, LLC (“Havencrest GP”) indirectly have the power to control TOI HC, LLC and may be deemed to have beneficial ownership of the shares directly held by TOI HC I, LLC. Each of Havencrest and Havencrest GP expressly disclaim beneficial ownership of such securities to the extent of their pecuniary interest therein. The business address for TOI HC I, LLC, Havencrest, and Havencrest GP is 2100 McKinney Ave., #1760, Dallas TX 75201.</w:t>
      </w:r>
    </w:p>
    <w:p>
      <w:pPr>
        <w:spacing w:after="0" w:line="171" w:lineRule="exact"/>
        <w:rPr>
          <w:rFonts w:ascii="Arial" w:cs="Arial" w:eastAsia="Arial" w:hAnsi="Arial"/>
          <w:sz w:val="17"/>
          <w:szCs w:val="17"/>
          <w:color w:val="auto"/>
        </w:rPr>
      </w:pPr>
    </w:p>
    <w:p>
      <w:pPr>
        <w:ind w:left="452" w:hanging="452"/>
        <w:spacing w:after="0" w:line="273" w:lineRule="auto"/>
        <w:tabs>
          <w:tab w:leader="none" w:pos="4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(i) 13,703,803 shares of Common Stock held by M33 Growth I L.P. (“M33”) and (ii) 1,552,580 shares of Common Stock held by TOI M, LLC (“TOI M”). M33 Growth I GP LLC is the general partner of M33. Michael Anello, Gabriel Ling and Brian Shortsleeve serve as the managers of M33 Growth I GP LLC. As a result, Mr. Anello, Mr. Ling and Mr. Shortsleeve indirectly have the power to control M33 and may be deemed to have indirect beneficial ownership of the securities held by M33. M33 is a member of TOI M and Mr. Ling serves as the manager of TOI M. As a result, Mr. Ling has the power to control TOI M and may be deemed to have indirect beneficial ownership of the securities held by TOI M. The business address of each of M33 and TOI M is 888 Boylston Street, Suite 500, Boston, MA 02199.</w:t>
      </w:r>
    </w:p>
    <w:p>
      <w:pPr>
        <w:spacing w:after="0" w:line="177" w:lineRule="exact"/>
        <w:rPr>
          <w:rFonts w:ascii="Arial" w:cs="Arial" w:eastAsia="Arial" w:hAnsi="Arial"/>
          <w:sz w:val="17"/>
          <w:szCs w:val="17"/>
          <w:color w:val="auto"/>
        </w:rPr>
      </w:pPr>
    </w:p>
    <w:p>
      <w:pPr>
        <w:ind w:left="452" w:hanging="452"/>
        <w:spacing w:after="0"/>
        <w:tabs>
          <w:tab w:leader="none" w:pos="4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(i) 373,842 shares of New TOI Common Stock to be owned by Fidelity Capital Trust: Fidelity Stock Selector Small Cap Fund; (ii)</w:t>
      </w:r>
    </w:p>
    <w:p>
      <w:pPr>
        <w:spacing w:after="0" w:line="34" w:lineRule="exact"/>
        <w:rPr>
          <w:rFonts w:ascii="Arial" w:cs="Arial" w:eastAsia="Arial" w:hAnsi="Arial"/>
          <w:sz w:val="17"/>
          <w:szCs w:val="17"/>
          <w:color w:val="auto"/>
        </w:rPr>
      </w:pPr>
    </w:p>
    <w:p>
      <w:pPr>
        <w:ind w:left="452"/>
        <w:spacing w:after="0"/>
        <w:rPr>
          <w:rFonts w:ascii="Arial" w:cs="Arial" w:eastAsia="Arial" w:hAnsi="Arial"/>
          <w:sz w:val="17"/>
          <w:szCs w:val="17"/>
          <w:color w:val="auto"/>
        </w:rPr>
      </w:pPr>
      <w:r>
        <w:rPr>
          <w:rFonts w:ascii="Arial" w:cs="Arial" w:eastAsia="Arial" w:hAnsi="Arial"/>
          <w:sz w:val="16"/>
          <w:szCs w:val="16"/>
          <w:color w:val="auto"/>
        </w:rPr>
        <w:t>1,126,158 shares of New TOI Common Stock to be owned by Fidelity Securities Fund: Fidelity Series Small Cap Opportunities Fund; (iii) 112,536</w:t>
      </w:r>
    </w:p>
    <w:p>
      <w:pPr>
        <w:spacing w:after="0" w:line="32" w:lineRule="exact"/>
        <w:rPr>
          <w:rFonts w:ascii="Arial" w:cs="Arial" w:eastAsia="Arial" w:hAnsi="Arial"/>
          <w:sz w:val="17"/>
          <w:szCs w:val="17"/>
          <w:color w:val="auto"/>
        </w:rPr>
      </w:pPr>
    </w:p>
    <w:p>
      <w:pPr>
        <w:ind w:left="452"/>
        <w:spacing w:after="0"/>
        <w:rPr>
          <w:rFonts w:ascii="Arial" w:cs="Arial" w:eastAsia="Arial" w:hAnsi="Arial"/>
          <w:sz w:val="17"/>
          <w:szCs w:val="17"/>
          <w:color w:val="auto"/>
        </w:rPr>
      </w:pPr>
      <w:r>
        <w:rPr>
          <w:rFonts w:ascii="Arial" w:cs="Arial" w:eastAsia="Arial" w:hAnsi="Arial"/>
          <w:sz w:val="16"/>
          <w:szCs w:val="16"/>
          <w:color w:val="auto"/>
        </w:rPr>
        <w:t>shares of New TOI Common Stock owned by Variable Insurance Products Fund III: VIP Growth Opportunities Portfolio; (iv) 814,767 shares of New</w:t>
      </w:r>
    </w:p>
    <w:p>
      <w:pPr>
        <w:spacing w:after="0" w:line="32" w:lineRule="exact"/>
        <w:rPr>
          <w:rFonts w:ascii="Arial" w:cs="Arial" w:eastAsia="Arial" w:hAnsi="Arial"/>
          <w:sz w:val="17"/>
          <w:szCs w:val="17"/>
          <w:color w:val="auto"/>
        </w:rPr>
      </w:pPr>
    </w:p>
    <w:p>
      <w:pPr>
        <w:ind w:left="452"/>
        <w:spacing w:after="0"/>
        <w:rPr>
          <w:rFonts w:ascii="Arial" w:cs="Arial" w:eastAsia="Arial" w:hAnsi="Arial"/>
          <w:sz w:val="17"/>
          <w:szCs w:val="17"/>
          <w:color w:val="auto"/>
        </w:rPr>
      </w:pPr>
      <w:r>
        <w:rPr>
          <w:rFonts w:ascii="Arial" w:cs="Arial" w:eastAsia="Arial" w:hAnsi="Arial"/>
          <w:sz w:val="16"/>
          <w:szCs w:val="16"/>
          <w:color w:val="auto"/>
        </w:rPr>
        <w:t>TOI Common Stock to be owned by Fidelity Advisor Series I: Fidelity Advisor Growth Opportunities Fund; (v) 28,268 shares of New TOI Common</w:t>
      </w:r>
    </w:p>
    <w:p>
      <w:pPr>
        <w:spacing w:after="0" w:line="32" w:lineRule="exact"/>
        <w:rPr>
          <w:rFonts w:ascii="Arial" w:cs="Arial" w:eastAsia="Arial" w:hAnsi="Arial"/>
          <w:sz w:val="17"/>
          <w:szCs w:val="17"/>
          <w:color w:val="auto"/>
        </w:rPr>
      </w:pPr>
    </w:p>
    <w:p>
      <w:pPr>
        <w:ind w:left="452" w:right="20"/>
        <w:spacing w:after="0" w:line="285" w:lineRule="auto"/>
        <w:rPr>
          <w:rFonts w:ascii="Arial" w:cs="Arial" w:eastAsia="Arial" w:hAnsi="Arial"/>
          <w:sz w:val="17"/>
          <w:szCs w:val="17"/>
          <w:color w:val="auto"/>
        </w:rPr>
      </w:pPr>
      <w:r>
        <w:rPr>
          <w:rFonts w:ascii="Arial" w:cs="Arial" w:eastAsia="Arial" w:hAnsi="Arial"/>
          <w:sz w:val="16"/>
          <w:szCs w:val="16"/>
          <w:color w:val="auto"/>
        </w:rPr>
        <w:t>Stock to be owned by Fidelity Advisor Series I: Fidelity Advisor Series Growth Opportunities Fund; (vi) 11,405 shares of New TOI Common Stock to be owned by Fidelity U.S. Growth Opportunities Investment Trust by its manager Fidelity Investments Canada ULC; (vii) 33,024 shares of New TOI Common Stock to be owned by Fidelity NorthStar Fund - Sub D by its manager Fidelity Investments Canada ULC; (viii) 2,232,581 shares of New TOI Common Stock to be owned by Fidelity Select Portfolios: Select Health Care Portfolio; (ix) 1,472,782 shares of New TOI Common Stock to be owned by Fidelity Advisor Series VII: Fidelity Advisor Health Care Fund; (x) 761,936 shares of New TOI Common Stock to be owned by Fidelity Central Investment Portfolios LLC: Fidelity U.S. Equity Central Fund — Health Care Sub; (xi) 282,701 shares of New TOI Common Stock to be owned by Variable Insurance Products Fund IV: VIP Health Care Portfolio; (xii) 377,375 shares of New TOI Common Stock to be owned by Fidelity Mt. Vernon Street Trust: Fidelity Series Growth Company Fund; (xiii) 1,815,080 shares of New TOI Common Stock to be owned by Fidelity Mt. Vernon Street Trust: Fidelity Growth Company Fund; (xiv) 2,110,757 shares of New TOI Common Stock to be owned by Fidelity Growth Company Commingled Pool, By: Fidelity Management Trust Company, as Trustee; and (xv) 446,788 shares of New TOI Common Stock to be owned by Fidelity Mt. Vernon Street Trust : Fidelity Growth Company K6 Fund. These accounts are managed by direct or indirect subsidiaries of FMR LLC. Abigail P. Johnson is a Director, the Chairman, the Chief Executive Officer and the President of FMR LLC.</w:t>
      </w:r>
    </w:p>
    <w:p>
      <w:pPr>
        <w:spacing w:after="0" w:line="171" w:lineRule="exact"/>
        <w:rPr>
          <w:rFonts w:ascii="Arial" w:cs="Arial" w:eastAsia="Arial" w:hAnsi="Arial"/>
          <w:sz w:val="17"/>
          <w:szCs w:val="17"/>
          <w:color w:val="auto"/>
        </w:rPr>
      </w:pPr>
    </w:p>
    <w:p>
      <w:pPr>
        <w:ind w:left="452"/>
        <w:spacing w:after="0" w:line="296" w:lineRule="auto"/>
        <w:rPr>
          <w:rFonts w:ascii="Arial" w:cs="Arial" w:eastAsia="Arial" w:hAnsi="Arial"/>
          <w:sz w:val="17"/>
          <w:szCs w:val="17"/>
          <w:color w:val="auto"/>
        </w:rPr>
      </w:pPr>
      <w:r>
        <w:rPr>
          <w:rFonts w:ascii="Arial" w:cs="Arial" w:eastAsia="Arial" w:hAnsi="Arial"/>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61" w:lineRule="exact"/>
        <w:rPr>
          <w:rFonts w:ascii="Arial" w:cs="Arial" w:eastAsia="Arial" w:hAnsi="Arial"/>
          <w:sz w:val="17"/>
          <w:szCs w:val="17"/>
          <w:color w:val="auto"/>
        </w:rPr>
      </w:pPr>
    </w:p>
    <w:p>
      <w:pPr>
        <w:ind w:left="452" w:right="200" w:hanging="452"/>
        <w:spacing w:after="0" w:line="263"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Jimmy Holdings, Inc. has voting and non-voting securities. Richy Agajanian controls the voting power of the voting securities of Jimmy Holdings, Inc., and, as a result of such control, may be deemed to have indirect beneficial ownership of the securities held by Jimmy Holdings, Inc. The business address for Jimmy Holdings, Inc. is 2810 Pinckard Ave., Redondo Beach, CA 90278.</w:t>
      </w:r>
    </w:p>
    <w:p>
      <w:pPr>
        <w:spacing w:after="0" w:line="183" w:lineRule="exact"/>
        <w:rPr>
          <w:rFonts w:ascii="Arial" w:cs="Arial" w:eastAsia="Arial" w:hAnsi="Arial"/>
          <w:sz w:val="18"/>
          <w:szCs w:val="18"/>
          <w:color w:val="auto"/>
        </w:rPr>
      </w:pPr>
    </w:p>
    <w:p>
      <w:pPr>
        <w:ind w:left="452" w:right="140" w:hanging="452"/>
        <w:spacing w:after="0" w:line="286" w:lineRule="auto"/>
        <w:tabs>
          <w:tab w:leader="none" w:pos="4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Dan Murillo, as principal of FOG Ventures Investments, LLC, directly or indirectly has the power to control FOG Ventures Investments, LLC. As a result, Mr. Murillo may be deemed to have indirect beneficial ownership of the securities held by FOG Ventures Investments, LLC. The business address for FOG Ventures Investments, LLC is 19300 S Hamilton Ave, Ste. 285, Gardena, CA 90248.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7" w:name="page28"/>
    <w:bookmarkEnd w:id="27"/>
    <w:p>
      <w:pPr>
        <w:ind w:left="460" w:right="160" w:hanging="452"/>
        <w:spacing w:after="0" w:line="28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OncologyCare Holdings, LLC is the manager of OncologyCare Partners, LLC, and Ravi Sarin formerly served as the managing member of OncologyCare Partners, LLC and continues to have the ability to influence the vote and disposition of the shares in certain circumstances, and thus may be deemed to indirectly beneficially own the shares, except to the extent of his pecuniary interest therein.</w:t>
      </w:r>
    </w:p>
    <w:p>
      <w:pPr>
        <w:spacing w:after="0" w:line="165" w:lineRule="exact"/>
        <w:rPr>
          <w:rFonts w:ascii="Arial" w:cs="Arial" w:eastAsia="Arial" w:hAnsi="Arial"/>
          <w:sz w:val="17"/>
          <w:szCs w:val="17"/>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indicated otherwise, the address of each stockholder is 18000 Studebaker Rd., Suite 800, Cerritos, CA 90703.</w:t>
      </w:r>
    </w:p>
    <w:p>
      <w:pPr>
        <w:spacing w:after="0" w:line="225"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(i) 141,380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212,070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591,954 shares of common stock issuable upon exercise of stock options held by Mr. Hively that are exercisable within 60 days of the Closing Date.</w:t>
      </w:r>
    </w:p>
    <w:p>
      <w:pPr>
        <w:spacing w:after="0" w:line="177" w:lineRule="exact"/>
        <w:rPr>
          <w:rFonts w:ascii="Arial" w:cs="Arial" w:eastAsia="Arial" w:hAnsi="Arial"/>
          <w:sz w:val="17"/>
          <w:szCs w:val="17"/>
          <w:color w:val="auto"/>
        </w:rPr>
      </w:pPr>
    </w:p>
    <w:p>
      <w:pPr>
        <w:ind w:left="460" w:right="80" w:hanging="452"/>
        <w:spacing w:after="0" w:line="27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(i) 78,094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195,236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245,909 shares of common stock issuable upon exercise of stock options held by Mr. Virnich that are exercisable within 60 days of the Closing Date.</w:t>
      </w:r>
    </w:p>
    <w:p>
      <w:pPr>
        <w:spacing w:after="0" w:line="177" w:lineRule="exact"/>
        <w:rPr>
          <w:rFonts w:ascii="Arial" w:cs="Arial" w:eastAsia="Arial" w:hAnsi="Arial"/>
          <w:sz w:val="17"/>
          <w:szCs w:val="17"/>
          <w:color w:val="auto"/>
        </w:rPr>
      </w:pPr>
    </w:p>
    <w:p>
      <w:pPr>
        <w:ind w:left="460" w:right="100" w:hanging="452"/>
        <w:spacing w:after="0" w:line="27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(i) 47,566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118,916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106,234 shares of common stock issuable upon exercise of stock options held by Mr. Dalgleish that are exercisable within 60 days of the Closing Date.</w:t>
      </w:r>
    </w:p>
    <w:p>
      <w:pPr>
        <w:spacing w:after="0" w:line="177" w:lineRule="exact"/>
        <w:rPr>
          <w:rFonts w:ascii="Arial" w:cs="Arial" w:eastAsia="Arial" w:hAnsi="Arial"/>
          <w:sz w:val="17"/>
          <w:szCs w:val="17"/>
          <w:color w:val="auto"/>
        </w:rPr>
      </w:pPr>
    </w:p>
    <w:p>
      <w:pPr>
        <w:ind w:left="460" w:right="20" w:hanging="452"/>
        <w:spacing w:after="0" w:line="27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(i) 11,359 shares received in connection with the Business Combination and representing restricted earn-out shares subject to forfeiture and unvested until such time the Issuer's stock price reaches $12.50 per share for 20 days within any 30 consecutive trading days for the two-year period following the closing of the Business Combination, subject to continued employment at such time, (ii) 17,039 shares received in connection with the Business Combination and representing restricted earn-out shares subject to forfeiture and unvested until such time the Issuer's stock price reaches $15.00 per share for 20 days within any 30 consecutive trading days for the three-year period following the closing of the Business Combination, subject to continued employment at such time and (iii) 38,024 shares of common stock issuable upon exercise of stock options held by Mr. Podnos that are exercisable within 60 days of the Closing Date.</w:t>
      </w:r>
    </w:p>
    <w:p>
      <w:pPr>
        <w:spacing w:after="0" w:line="177" w:lineRule="exact"/>
        <w:rPr>
          <w:rFonts w:ascii="Arial" w:cs="Arial" w:eastAsia="Arial" w:hAnsi="Arial"/>
          <w:sz w:val="17"/>
          <w:szCs w:val="17"/>
          <w:color w:val="auto"/>
        </w:rPr>
      </w:pPr>
    </w:p>
    <w:p>
      <w:pPr>
        <w:ind w:left="460" w:right="4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held by Mr. Barasch prior to the consummation of the Business Combination, after giving effect to forfeitures pursuant to the Stockholder Support Agreement, dated as of June 28, 2021, by and among DFP, TOI and the Sponsor.</w:t>
      </w:r>
    </w:p>
    <w:p>
      <w:pPr>
        <w:spacing w:after="0" w:line="170"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held by Mr. Kaushal prior to the consummation of the Business Combination, after giving effect to forfeitures pursuant to the Stockholder Support Agreement, dated as of June 28, 2021, by and among DFP, TOI and the Sponsor.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Upon the consummation of the transactions contemplated by the Merger Agreement and documents related thereto, and in accordance with the terms of the Merger Agreement, each executive officer of DFP ceased serving in such capacities, and both Dr. Jennifer Carter and Dr. Gregory Sorensen ceased serving on DFP’s board of directors.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Brad Hively, Richard Barasch, Karen Johnson, Mohit Kaushal, Anne McGeorge, Maeve O’Meara and Ravi Sarin were appointed as directors of TOI by the stockholders of DFP, to serve until the end of their respective terms and until their successors are elected and qualified. The Board has appointed Richard Barasch to serve as Chairperson of the Board. Anne McGeorge, Maeve O’Meara and Ravi Sarin were appointed to serve on TOI’s audit committee with Anne McGeorge serving as the chair and Ms. McGeorge, Ms. O’Meara and Mr. Sarin each qualifying as an audit committee financial expert, as such term is defined in Item 407(d)(5) of Regulation S-K.</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Brad Hively was appointed as TOI’s Chief Executive Officer, Daniel Virnich was appointed as TOI’s Chief Operating Officer, Scott Dalgleish was appointed as TOI’s Chief Financial Officer, and Mark Huppelsheuser was appointed as TOI’s General Counsel.</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TOI’s directors and executive officers after the consummation of the Business Combination are described in the Proxy Statement/Prospectus in the section titled “</w:t>
      </w:r>
      <w:r>
        <w:rPr>
          <w:rFonts w:ascii="Arial" w:cs="Arial" w:eastAsia="Arial" w:hAnsi="Arial"/>
          <w:sz w:val="16"/>
          <w:szCs w:val="16"/>
          <w:i w:val="1"/>
          <w:iCs w:val="1"/>
          <w:color w:val="auto"/>
        </w:rPr>
        <w:t>New TOI Management After the Business Combination</w:t>
      </w:r>
      <w:r>
        <w:rPr>
          <w:rFonts w:ascii="Arial" w:cs="Arial" w:eastAsia="Arial" w:hAnsi="Arial"/>
          <w:sz w:val="16"/>
          <w:szCs w:val="16"/>
          <w:color w:val="auto"/>
        </w:rPr>
        <w:t>” beginning on page 243, and that information is incorporated herein by reference.</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Additionally, interlocks and insider participation information regarding TOI’s executive officers is described in the Proxy Statement/Prospectus in the section titled “</w:t>
      </w:r>
      <w:r>
        <w:rPr>
          <w:rFonts w:ascii="Arial" w:cs="Arial" w:eastAsia="Arial" w:hAnsi="Arial"/>
          <w:sz w:val="18"/>
          <w:szCs w:val="18"/>
          <w:i w:val="1"/>
          <w:iCs w:val="1"/>
          <w:color w:val="auto"/>
        </w:rPr>
        <w:t>New TOI Management After the Business Combination—Compensation Committee Interlocks and Insider Participation</w:t>
      </w:r>
      <w:r>
        <w:rPr>
          <w:rFonts w:ascii="Arial" w:cs="Arial" w:eastAsia="Arial" w:hAnsi="Arial"/>
          <w:sz w:val="18"/>
          <w:szCs w:val="18"/>
          <w:color w:val="auto"/>
        </w:rPr>
        <w:t>” beginning on page 248 and that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executive compensation of Old TOI’s executive officers is described in the Proxy Statement/Prospectus in the section titled “</w:t>
      </w:r>
      <w:r>
        <w:rPr>
          <w:rFonts w:ascii="Arial" w:cs="Arial" w:eastAsia="Arial" w:hAnsi="Arial"/>
          <w:sz w:val="18"/>
          <w:szCs w:val="18"/>
          <w:i w:val="1"/>
          <w:iCs w:val="1"/>
          <w:color w:val="auto"/>
        </w:rPr>
        <w:t>TOI Parent, Inc.’s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beginning on page 249 and that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99"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compensation of Old TOI’s directors is described in the Proxy Statement/Prospectus in the section titled “</w:t>
      </w:r>
      <w:r>
        <w:rPr>
          <w:rFonts w:ascii="Arial" w:cs="Arial" w:eastAsia="Arial" w:hAnsi="Arial"/>
          <w:sz w:val="18"/>
          <w:szCs w:val="18"/>
          <w:i w:val="1"/>
          <w:iCs w:val="1"/>
          <w:color w:val="auto"/>
        </w:rPr>
        <w:t>TOI Parent, Inc.’s Executive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beginning on page 249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Transactions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relationships and related party transactions of TOI are described in the Proxy Statement/Prospectus in the section 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beginning on page 255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relationships and related party transactions of TOI are described in the Proxy Statement/Prospectus in the section titled “</w:t>
      </w:r>
      <w:r>
        <w:rPr>
          <w:rFonts w:ascii="Arial" w:cs="Arial" w:eastAsia="Arial" w:hAnsi="Arial"/>
          <w:sz w:val="18"/>
          <w:szCs w:val="18"/>
          <w:i w:val="1"/>
          <w:iCs w:val="1"/>
          <w:color w:val="auto"/>
        </w:rPr>
        <w:t>New TOI 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After the Business Combination—Director Independence</w:t>
      </w:r>
      <w:r>
        <w:rPr>
          <w:rFonts w:ascii="Arial" w:cs="Arial" w:eastAsia="Arial" w:hAnsi="Arial"/>
          <w:sz w:val="18"/>
          <w:szCs w:val="18"/>
          <w:color w:val="auto"/>
        </w:rPr>
        <w:t>” on page 246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Reference is made to the disclosure regarding legal proceedings in the section of the Proxy Statement/Prospectus titled “</w:t>
      </w:r>
      <w:r>
        <w:rPr>
          <w:rFonts w:ascii="Arial" w:cs="Arial" w:eastAsia="Arial" w:hAnsi="Arial"/>
          <w:sz w:val="18"/>
          <w:szCs w:val="18"/>
          <w:i w:val="1"/>
          <w:iCs w:val="1"/>
          <w:color w:val="auto"/>
        </w:rPr>
        <w:t>Business of TOI—Legal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beginning on page 196,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Shares of TOI’s common stock and TOI’s warrants commenced trading on the Nasdaq under the symbols “TOI” and “TOIIW,” respectively, on November 15, 2021, in lieu of the Class A common stock, warrants and units of DFP. TOI has not paid any cash dividends on its shares of common stock to date. It is the present intention of the Board to retain all earnings, if any, for use in TOI’s business operations and, accordingly, TOI’s board does not anticipate declaring any dividends in the foreseeable future. The payment of cash dividends in the future will be dependent upon TOI’s revenues and earnings, if any, capital requirements and general financial condition. The payment of any cash dividends is within the discretion of the Board. Further, the ability of TOI to declare dividends may be limited by the terms of financing or other agreements entered into by it or its subsidiaries from time to time.</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respecting DFP’s Class A common stock, warrants and units and related stockholder matters are described in the Proxy Statement/Prospectus in the section titled “</w:t>
      </w:r>
      <w:r>
        <w:rPr>
          <w:rFonts w:ascii="Arial" w:cs="Arial" w:eastAsia="Arial" w:hAnsi="Arial"/>
          <w:sz w:val="18"/>
          <w:szCs w:val="18"/>
          <w:i w:val="1"/>
          <w:iCs w:val="1"/>
          <w:color w:val="auto"/>
        </w:rPr>
        <w:t>Dividend Policy</w:t>
      </w:r>
      <w:r>
        <w:rPr>
          <w:rFonts w:ascii="Arial" w:cs="Arial" w:eastAsia="Arial" w:hAnsi="Arial"/>
          <w:sz w:val="18"/>
          <w:szCs w:val="18"/>
          <w:color w:val="auto"/>
        </w:rPr>
        <w:t>” on page 40 and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Reference is made to the disclosure set forth below under Item 3.02 of this Report concerning the issuance and sale by TOI of certain unregistered securities,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Registrant’s Securities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description of TOI’s securities is contained in the Proxy Statement/Prospectus in the section titled “</w:t>
      </w:r>
      <w:r>
        <w:rPr>
          <w:rFonts w:ascii="Arial" w:cs="Arial" w:eastAsia="Arial" w:hAnsi="Arial"/>
          <w:sz w:val="18"/>
          <w:szCs w:val="18"/>
          <w:i w:val="1"/>
          <w:iCs w:val="1"/>
          <w:color w:val="auto"/>
        </w:rPr>
        <w:t>Description of New TOI Securities</w:t>
      </w:r>
      <w:r>
        <w:rPr>
          <w:rFonts w:ascii="Arial" w:cs="Arial" w:eastAsia="Arial" w:hAnsi="Arial"/>
          <w:sz w:val="18"/>
          <w:szCs w:val="18"/>
          <w:color w:val="auto"/>
        </w:rPr>
        <w:t>” beginning on page 215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indemnification of TOI’s directors and officers is set forth in the Proxy Statement/Prospectus in the section titled “</w:t>
      </w:r>
      <w:r>
        <w:rPr>
          <w:rFonts w:ascii="Arial" w:cs="Arial" w:eastAsia="Arial" w:hAnsi="Arial"/>
          <w:sz w:val="17"/>
          <w:szCs w:val="17"/>
          <w:i w:val="1"/>
          <w:iCs w:val="1"/>
          <w:color w:val="auto"/>
        </w:rPr>
        <w:t>Description of New TOI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Limitations on Liability and Indemnification of Officers and Directors</w:t>
      </w:r>
      <w:r>
        <w:rPr>
          <w:rFonts w:ascii="Arial" w:cs="Arial" w:eastAsia="Arial" w:hAnsi="Arial"/>
          <w:sz w:val="17"/>
          <w:szCs w:val="17"/>
          <w:color w:val="auto"/>
        </w:rPr>
        <w:t>” beginning on page 224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the Closing, TOI consummated the PIPE Investment. The disclosure under Item 2.01 of this Report relating to the PIPE Investment is incorporated into this Item 3.02 by reference.</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TOI issued the foregoing securities under Section 4(a)(2) of the Securities Act of 1933, as amended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TOI’s transfer agent). The parties also had adequate access, through business or other relationships, to information about TOI.</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5.03 to this Report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For accounting purposes, the Transactions are treated as a reverse acquisition and, as such, the historical financial statements of the accounting acquirer, TOI, which have been audited by BDO USA, LLP, will become the historical financial statements of the Company. In a reverse acquisition, a change of accountants is presumed to have occurred unless the same accountant audited the pre-transaction financial statements of both the legal acquirer and the accounting acquirer, and such change is generally presumed to occur on the date the reverse acquisition is completed.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Dismissal of independent registered public accounting firm.</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November 14, 2021, the Audit Committee of the Board dismissed WithumSmith+Brown, PC (“Withum”), DFP’s independent registered public accounting firm prior to the business combination, as the Company’s independent registered public accounting firm effective following the filing of the Company’s Quarterly Report on Form 10-Q for the three months and nine months ended September 30, 2021, which consists only of the accounts of the pre-Business Combination special purpose acquisition company, DFP.</w:t>
      </w:r>
    </w:p>
    <w:p>
      <w:pPr>
        <w:spacing w:after="0" w:line="18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report of Withum on DFP’s, the Company’s legal predecessor, balance sheet as of December 31, 2020 and the statements of operations, changes in stockholders’ equity and cash flows for the period from November 1, 2019 (inception) to December 31, 2020, did not contain an adverse opinion or a disclaimer of opinion, and was not qualified or modified as to uncertainties, audit scope or accounting principles.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period from November 1, 2019 (inception) to December 31, 2020 and subsequent interim period through November 12, 2021, there were no disagreements between the Company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DFP’s financial statements for such period.</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period from November 1, 2019 (inception) to December 31, 2020 and subsequent interim period through November 12, 2021, there were no “reportable events” (as defined in Item 304(a)(1)(v) of Regulation S-K under the Exchange Act).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provided Withum with a copy of the foregoing disclosures and has requested that Withum furnish the Company with a letter addressed to the SEC stating whether it agrees with the statements made by the Company set forth above. A copy of Withum’s letter, dated November 18, 2021, is filed as Exhibit 16.1 to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Disclosures regarding the new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On November 14, 2021, the Board approved the engagement of BDO USA, LLP (“BDO”) and intends to appoint BDO as the Company’s independent registered public accounting firm to audit the Company’s consolidated financial statements for the year ending December 31, 2021. BDO served as independent registered public accounting firm of Old TOI prior to the Business Combination. During the years ended December 31, 2020 and 2019, the period from September 20, 2018 through December 31, 2018, and subsequent interim period through November 12, 2021 (successor periods) and for the period from January 1, 2018 through September 19, 2018 (predecessor period), neither the Company nor anyone on the Company’s behalf consulted with BDO with respect to (i) the application of accounting principles to a specified transaction, either completed or proposed, the type of audit opinion that might be rendered on our financial statements, and neither a written report nor oral advice was provided to us that BDO concluded was an important factor considered by us in reaching a decision as to any accounting, auditing or financial reporting issue, or (ii) any other matter that was the subject of a disagreement or a reportable event (each as defined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and Item 2.01 of this Report is incorporated herein by reference.</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set forth in the sections titled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 “</w:t>
      </w:r>
      <w:r>
        <w:rPr>
          <w:rFonts w:ascii="Arial" w:cs="Arial" w:eastAsia="Arial" w:hAnsi="Arial"/>
          <w:sz w:val="18"/>
          <w:szCs w:val="18"/>
          <w:i w:val="1"/>
          <w:iCs w:val="1"/>
          <w:color w:val="auto"/>
        </w:rPr>
        <w:t>Executive Compensation</w:t>
      </w:r>
      <w:r>
        <w:rPr>
          <w:rFonts w:ascii="Arial" w:cs="Arial" w:eastAsia="Arial" w:hAnsi="Arial"/>
          <w:sz w:val="18"/>
          <w:szCs w:val="18"/>
          <w:color w:val="auto"/>
        </w:rPr>
        <w:t>”, “</w:t>
      </w:r>
      <w:r>
        <w:rPr>
          <w:rFonts w:ascii="Arial" w:cs="Arial" w:eastAsia="Arial" w:hAnsi="Arial"/>
          <w:sz w:val="18"/>
          <w:szCs w:val="18"/>
          <w:i w:val="1"/>
          <w:iCs w:val="1"/>
          <w:color w:val="auto"/>
        </w:rPr>
        <w:t>Director Compensation</w:t>
      </w:r>
      <w:r>
        <w:rPr>
          <w:rFonts w:ascii="Arial" w:cs="Arial" w:eastAsia="Arial" w:hAnsi="Arial"/>
          <w:sz w:val="18"/>
          <w:szCs w:val="18"/>
          <w:color w:val="auto"/>
        </w:rPr>
        <w:t>” and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Transactions</w:t>
      </w:r>
      <w:r>
        <w:rPr>
          <w:rFonts w:ascii="Arial" w:cs="Arial" w:eastAsia="Arial" w:hAnsi="Arial"/>
          <w:sz w:val="18"/>
          <w:szCs w:val="18"/>
          <w:color w:val="auto"/>
        </w:rPr>
        <w:t>” in Item 2.01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At the Special Meeting, the DFP stockholders considered and approved the The Oncology Institute, Inc. 2021 Incentive Award Plan (the “2021 Plan”). 2021 Plan was previously approved, subject to stockholder approval, by DFP’s board of directors and subsequently ratified by the Board on November 14, 2021. The 2021 Plan became effective immediately upon the Closing.</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 summary of the terms of the 2021 Plan is set forth in the Proxy Statement/Prospectus in the section titled “</w:t>
      </w:r>
      <w:r>
        <w:rPr>
          <w:rFonts w:ascii="Arial" w:cs="Arial" w:eastAsia="Arial" w:hAnsi="Arial"/>
          <w:sz w:val="17"/>
          <w:szCs w:val="17"/>
          <w:i w:val="1"/>
          <w:iCs w:val="1"/>
          <w:color w:val="auto"/>
        </w:rPr>
        <w:t>Incentive Plan Proposal</w:t>
      </w:r>
      <w:r>
        <w:rPr>
          <w:rFonts w:ascii="Arial" w:cs="Arial" w:eastAsia="Arial" w:hAnsi="Arial"/>
          <w:sz w:val="17"/>
          <w:szCs w:val="17"/>
          <w:color w:val="auto"/>
        </w:rPr>
        <w:t>” beginning on page 140 of the Proxy Statement/Prospectus, which is incorporated herein by reference. Such summary and the foregoing description are qualified in their entirety by reference to the text of the 2021 Plan, a copy of which is attached hereto as Exhibit 10.2 and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Special Meeting, the DFP stockholders considered and approved the The Oncology Institute, Inc. 2021 Employee Stock Purchase Plan (the “ESPP”). The ESPP was previously approved, subject to stockholder approval, by DFP’s board of directors and subsequently ratified by the Board on November 14, 2021. The ESPP became effective immediately upon the Closing.</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summary of the terms of the ESPP is set forth in the Proxy Statement/Prospectus in the section titled “</w:t>
      </w:r>
      <w:r>
        <w:rPr>
          <w:rFonts w:ascii="Arial" w:cs="Arial" w:eastAsia="Arial" w:hAnsi="Arial"/>
          <w:sz w:val="17"/>
          <w:szCs w:val="17"/>
          <w:i w:val="1"/>
          <w:iCs w:val="1"/>
          <w:color w:val="auto"/>
        </w:rPr>
        <w:t>The ESPP Proposal</w:t>
      </w:r>
      <w:r>
        <w:rPr>
          <w:rFonts w:ascii="Arial" w:cs="Arial" w:eastAsia="Arial" w:hAnsi="Arial"/>
          <w:sz w:val="17"/>
          <w:szCs w:val="17"/>
          <w:color w:val="auto"/>
        </w:rPr>
        <w:t>” beginning on page 145 of the Proxy Statement/Prospectus, which is incorporated herein by reference. Such summary and the foregoing description are qualified in their entirety by reference to the text of the ESPP, a copy of which is attached hereto as Exhibit 10.3 and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the Special Meeting, the DFP stockholders considered and approved, among other things, the proposals set forth in the Proxy Statement/Prospectus in the sections titled “</w:t>
      </w:r>
      <w:r>
        <w:rPr>
          <w:rFonts w:ascii="Arial" w:cs="Arial" w:eastAsia="Arial" w:hAnsi="Arial"/>
          <w:sz w:val="18"/>
          <w:szCs w:val="18"/>
          <w:i w:val="1"/>
          <w:iCs w:val="1"/>
          <w:color w:val="auto"/>
        </w:rPr>
        <w:t>The Charter Proposal</w:t>
      </w:r>
      <w:r>
        <w:rPr>
          <w:rFonts w:ascii="Arial" w:cs="Arial" w:eastAsia="Arial" w:hAnsi="Arial"/>
          <w:sz w:val="18"/>
          <w:szCs w:val="18"/>
          <w:color w:val="auto"/>
        </w:rPr>
        <w:t>” and “</w:t>
      </w:r>
      <w:r>
        <w:rPr>
          <w:rFonts w:ascii="Arial" w:cs="Arial" w:eastAsia="Arial" w:hAnsi="Arial"/>
          <w:sz w:val="18"/>
          <w:szCs w:val="18"/>
          <w:i w:val="1"/>
          <w:iCs w:val="1"/>
          <w:color w:val="auto"/>
        </w:rPr>
        <w:t>The Advisory Charter Proposals</w:t>
      </w:r>
      <w:r>
        <w:rPr>
          <w:rFonts w:ascii="Arial" w:cs="Arial" w:eastAsia="Arial" w:hAnsi="Arial"/>
          <w:sz w:val="18"/>
          <w:szCs w:val="18"/>
          <w:color w:val="auto"/>
        </w:rPr>
        <w:t>” beginning on pages 128 and 134 respectively of the Proxy Statement/Prospectus (the “</w:t>
      </w:r>
      <w:r>
        <w:rPr>
          <w:rFonts w:ascii="Arial" w:cs="Arial" w:eastAsia="Arial" w:hAnsi="Arial"/>
          <w:sz w:val="18"/>
          <w:szCs w:val="18"/>
          <w:i w:val="1"/>
          <w:iCs w:val="1"/>
          <w:color w:val="auto"/>
        </w:rPr>
        <w:t>Charter Proposal</w:t>
      </w:r>
      <w:r>
        <w:rPr>
          <w:rFonts w:ascii="Arial" w:cs="Arial" w:eastAsia="Arial" w:hAnsi="Arial"/>
          <w:sz w:val="18"/>
          <w:szCs w:val="18"/>
          <w:color w:val="auto"/>
        </w:rPr>
        <w:t>”).</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Amended and Restated Certificate of Incorporation of TOI (the “Certificate of Incorporation”), which became effective upon filing with the Secretary of State of the State of Delaware on November 12, 2021, includes the amendments proposed by the Charter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right="420"/>
        <w:spacing w:after="0" w:line="277" w:lineRule="auto"/>
        <w:rPr>
          <w:sz w:val="20"/>
          <w:szCs w:val="20"/>
          <w:color w:val="auto"/>
        </w:rPr>
      </w:pPr>
      <w:r>
        <w:rPr>
          <w:rFonts w:ascii="Arial" w:cs="Arial" w:eastAsia="Arial" w:hAnsi="Arial"/>
          <w:sz w:val="18"/>
          <w:szCs w:val="18"/>
          <w:color w:val="auto"/>
        </w:rPr>
        <w:t>On November 12, 2021, the Board approved and adopted the Amended and Restated Bylaws of TOI (the “Bylaws”), which became effective as of the Effective Time.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Copies of the Certificate of Incorporation and the Bylaws are attached hereto as Exhibit 3.1 and Exhibit 3.2, respectively, and are incorporated herein by reference.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description of the Certificate of Incorporation and the general effect of the Certificate of Incorporation and the Bylaws upon the rights of holders of TOI’s capital stock are included in the Proxy Statement/Prospectus under the sections titled “</w:t>
      </w:r>
      <w:r>
        <w:rPr>
          <w:rFonts w:ascii="Arial" w:cs="Arial" w:eastAsia="Arial" w:hAnsi="Arial"/>
          <w:sz w:val="18"/>
          <w:szCs w:val="18"/>
          <w:i w:val="1"/>
          <w:iCs w:val="1"/>
          <w:color w:val="auto"/>
        </w:rPr>
        <w:t>The Charter Proposal,</w:t>
      </w:r>
      <w:r>
        <w:rPr>
          <w:rFonts w:ascii="Arial" w:cs="Arial" w:eastAsia="Arial" w:hAnsi="Arial"/>
          <w:sz w:val="18"/>
          <w:szCs w:val="18"/>
          <w:color w:val="auto"/>
        </w:rPr>
        <w:t>” “</w:t>
      </w:r>
      <w:r>
        <w:rPr>
          <w:rFonts w:ascii="Arial" w:cs="Arial" w:eastAsia="Arial" w:hAnsi="Arial"/>
          <w:sz w:val="18"/>
          <w:szCs w:val="18"/>
          <w:i w:val="1"/>
          <w:iCs w:val="1"/>
          <w:color w:val="auto"/>
        </w:rPr>
        <w:t>The Advisory Charter Proposals,</w:t>
      </w:r>
      <w:r>
        <w:rPr>
          <w:rFonts w:ascii="Arial" w:cs="Arial" w:eastAsia="Arial" w:hAnsi="Arial"/>
          <w:sz w:val="18"/>
          <w:szCs w:val="18"/>
          <w:color w:val="auto"/>
        </w:rPr>
        <w:t>” “</w:t>
      </w:r>
      <w:r>
        <w:rPr>
          <w:rFonts w:ascii="Arial" w:cs="Arial" w:eastAsia="Arial" w:hAnsi="Arial"/>
          <w:sz w:val="18"/>
          <w:szCs w:val="18"/>
          <w:i w:val="1"/>
          <w:iCs w:val="1"/>
          <w:color w:val="auto"/>
        </w:rPr>
        <w:t>Comparison of Stockholder Rights</w:t>
      </w:r>
      <w:r>
        <w:rPr>
          <w:rFonts w:ascii="Arial" w:cs="Arial" w:eastAsia="Arial" w:hAnsi="Arial"/>
          <w:sz w:val="18"/>
          <w:szCs w:val="18"/>
          <w:color w:val="auto"/>
        </w:rPr>
        <w:t>” and “</w:t>
      </w:r>
      <w:r>
        <w:rPr>
          <w:rFonts w:ascii="Arial" w:cs="Arial" w:eastAsia="Arial" w:hAnsi="Arial"/>
          <w:sz w:val="18"/>
          <w:szCs w:val="18"/>
          <w:i w:val="1"/>
          <w:iCs w:val="1"/>
          <w:color w:val="auto"/>
        </w:rPr>
        <w:t>Description of New TOI Securities</w:t>
      </w:r>
      <w:r>
        <w:rPr>
          <w:rFonts w:ascii="Arial" w:cs="Arial" w:eastAsia="Arial" w:hAnsi="Arial"/>
          <w:sz w:val="18"/>
          <w:szCs w:val="18"/>
          <w:color w:val="auto"/>
        </w:rPr>
        <w:t>” beginning on pages 128, 134, 226 and 215, respectively, of the Proxy Statement/Prospectus, which are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Business Combination, on November 14, 2021, TOI’s board of directors approved and adopted a new Code of Ethics and Conduct applicable to all employees, officers and directors of TOI. A copy of the Code of Business Conduct and Ethics can be found at https://investors.theoncologyinstitute.com/corporate-governance/governance-documents. The above description of the Code of Ethics and Conduct does not purport to be complete and is qualified in its entirety by reference to the full text of the Code of Ethics and Conduct.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 result of the Business Combination, the Company ceased being a shell company. Reference is made to the disclosure in the Proxy Statement/Prospectus in the section titled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beginning on page 96, which is incorporated herein by reference. Further, the information set forth in the Introductory Note and under Item 2.01 of this Report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November 15, 2021, TOI issued a press release announcing the start of trading. A copy of the press release is filed hereto as Exhibit 99.3 and incorporated herein by reference.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Business Combination, TOI became the successor issuer to DFP. Pursuant to Rule 12g-3(a) under the Exchange Act, TOI’s common stock and warrants are deemed registered under Section 12(b)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(i) audited consolidated financial statements of Old TOI as of and for the years ended December 31, 2020 and 2019 included in the Proxy Statement/Prospectus beginning on page F-73 of the Proxy Statement/Prospectus and (ii) unaudited condensed consolidated financial statements of Old TOI as of and for the periods ended September 30, 2021 and 2020 are set forth in Exhibit 99.1 hereto and are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unaudited pro forma condensed combined financial information of DFP and Old TOI as of and for the nine months ended September 30, 2021 and as of and for the year ended December 31, 2020 is set forth in Exhibit 99.2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720" w:type="dxa"/>
            <w:vAlign w:val="bottom"/>
            <w:tcBorders>
              <w:bottom w:val="single" w:sz="8" w:color="auto"/>
            </w:tcBorders>
            <w:gridSpan w:val="9"/>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gridSpan w:val="3"/>
          </w:tcPr>
          <w:p>
            <w:pPr>
              <w:spacing w:after="0" w:line="169" w:lineRule="exact"/>
              <w:rPr>
                <w:rFonts w:ascii="Arial" w:cs="Arial" w:eastAsia="Arial" w:hAnsi="Arial"/>
                <w:sz w:val="18"/>
                <w:szCs w:val="18"/>
                <w:color w:val="0000EE"/>
              </w:rPr>
            </w:pPr>
            <w:hyperlink r:id="rId4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13"/>
          </w:tcPr>
          <w:p>
            <w:pPr>
              <w:spacing w:after="0" w:line="169"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Merger Agreement, dated as of June 28, 2021, by and among DFP, Merger Sub I, Merger Sub II, and TOI (incorporated by reference 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Exhibit 2.1 to the Registration Statement on Form S-4 (File No. 333-258152) filed on October 20, 2021).</w:t>
              </w:r>
            </w:hyperlink>
          </w:p>
        </w:tc>
      </w:tr>
      <w:tr>
        <w:trPr>
          <w:trHeight w:val="412"/>
        </w:trPr>
        <w:tc>
          <w:tcPr>
            <w:tcW w:w="240" w:type="dxa"/>
            <w:vAlign w:val="bottom"/>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tcBorders>
              <w:top w:val="single" w:sz="8" w:color="0000EE"/>
            </w:tcBorders>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Amended and Restated Certificate of Incorporation of The Oncology Institute, Inc.</w:t>
              </w:r>
            </w:hyperlink>
          </w:p>
        </w:tc>
        <w:tc>
          <w:tcPr>
            <w:tcW w:w="2200" w:type="dxa"/>
            <w:vAlign w:val="bottom"/>
            <w:gridSpan w:val="6"/>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Amended and Restated Bylaws of The Oncology Institute, Inc.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Specimen Common Stock Certificate of The Oncology Institute, Inc.</w:t>
            </w:r>
          </w:p>
        </w:tc>
      </w:tr>
      <w:tr>
        <w:trPr>
          <w:trHeight w:val="392"/>
        </w:trPr>
        <w:tc>
          <w:tcPr>
            <w:tcW w:w="240" w:type="dxa"/>
            <w:vAlign w:val="bottom"/>
          </w:tcPr>
          <w:p>
            <w:pPr>
              <w:spacing w:after="0"/>
              <w:rPr>
                <w:rFonts w:ascii="Arial" w:cs="Arial" w:eastAsia="Arial" w:hAnsi="Arial"/>
                <w:sz w:val="18"/>
                <w:szCs w:val="18"/>
                <w:color w:val="0000EE"/>
                <w:w w:val="87"/>
              </w:rPr>
            </w:pPr>
            <w:hyperlink r:id="rId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Warrant Agreement, dated March 10, 2020, by and between DFP and Continental Stock Transfer &amp; Trust Company, as warrant agent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(incorporated by reference to Exhibit 4.1 to the Company’s Current Report on Form 8-K (File No. 001-39248), filed with the SEC on</w:t>
              </w:r>
            </w:hyperlink>
          </w:p>
        </w:tc>
        <w:tc>
          <w:tcPr>
            <w:tcW w:w="16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46">
              <w:r>
                <w:rPr>
                  <w:rFonts w:ascii="Arial" w:cs="Arial" w:eastAsia="Arial" w:hAnsi="Arial"/>
                  <w:sz w:val="18"/>
                  <w:szCs w:val="18"/>
                  <w:color w:val="0000EE"/>
                  <w:w w:val="96"/>
                </w:rPr>
                <w:t>March 13, 2020.</w:t>
              </w:r>
            </w:hyperlink>
          </w:p>
        </w:tc>
        <w:tc>
          <w:tcPr>
            <w:tcW w:w="8480" w:type="dxa"/>
            <w:vAlign w:val="bottom"/>
            <w:gridSpan w:val="12"/>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7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Amended and Restated Registration Rights Agreement by and among DFP Healthcare Acquisitions Corp, DFP Sponsor LLC and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certain other parties thereto.</w:t>
              </w:r>
            </w:hyperlink>
          </w:p>
        </w:tc>
        <w:tc>
          <w:tcPr>
            <w:tcW w:w="7660" w:type="dxa"/>
            <w:vAlign w:val="bottom"/>
            <w:gridSpan w:val="11"/>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The Oncology Institute, Inc. 2021 Incentive Award Plan</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53"/>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The Oncology Institute, Inc. Employee Stock Purchase Plan</w:t>
            </w: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14.1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The Oncology Institute Code of Ethics and Conduct</w:t>
            </w:r>
          </w:p>
        </w:tc>
      </w:tr>
      <w:tr>
        <w:trPr>
          <w:trHeight w:val="391"/>
        </w:trPr>
        <w:tc>
          <w:tcPr>
            <w:tcW w:w="320" w:type="dxa"/>
            <w:vAlign w:val="bottom"/>
            <w:gridSpan w:val="2"/>
          </w:tcPr>
          <w:p>
            <w:pPr>
              <w:spacing w:after="0"/>
              <w:rPr>
                <w:rFonts w:ascii="Arial" w:cs="Arial" w:eastAsia="Arial" w:hAnsi="Arial"/>
                <w:sz w:val="18"/>
                <w:szCs w:val="18"/>
                <w:color w:val="0000EE"/>
                <w:w w:val="85"/>
              </w:rPr>
            </w:pPr>
            <w:hyperlink w:anchor="page101">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Response Letter from WithumSmith + Brown, P.C.</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0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Unaudited condensed consolidated financial statements of Old TOI as of and for the periods ended September 30, 2021 and 2020.</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Borders>
              <w:right w:val="single" w:sz="8" w:color="0000EE"/>
            </w:tcBorders>
            <w:gridSpan w:val="5"/>
            <w:shd w:val="clear" w:color="auto" w:fill="0000EE"/>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3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Unaudited pro forma condensed combined financial information of DFP and Old TOI as of and for the nine months ended September</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Borders>
              <w:right w:val="single" w:sz="8" w:color="0000EE"/>
            </w:tcBorders>
            <w:gridSpan w:val="5"/>
            <w:shd w:val="clear" w:color="auto" w:fill="0000EE"/>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30, 2021 and as of and for the year ended December 31, 2020.</w:t>
              </w:r>
            </w:hyperlink>
          </w:p>
        </w:tc>
        <w:tc>
          <w:tcPr>
            <w:tcW w:w="5140" w:type="dxa"/>
            <w:vAlign w:val="bottom"/>
            <w:gridSpan w:val="8"/>
          </w:tcPr>
          <w:p>
            <w:pPr>
              <w:spacing w:after="0"/>
              <w:rPr>
                <w:sz w:val="17"/>
                <w:szCs w:val="17"/>
                <w:color w:val="auto"/>
              </w:rPr>
            </w:pPr>
          </w:p>
        </w:tc>
      </w:tr>
      <w:tr>
        <w:trPr>
          <w:trHeight w:val="453"/>
        </w:trPr>
        <w:tc>
          <w:tcPr>
            <w:tcW w:w="320" w:type="dxa"/>
            <w:vAlign w:val="bottom"/>
            <w:gridSpan w:val="2"/>
          </w:tcPr>
          <w:p>
            <w:pPr>
              <w:spacing w:after="0"/>
              <w:rPr>
                <w:sz w:val="20"/>
                <w:szCs w:val="20"/>
                <w:color w:val="auto"/>
              </w:rPr>
            </w:pPr>
            <w:r>
              <w:rPr>
                <w:rFonts w:ascii="Arial" w:cs="Arial" w:eastAsia="Arial" w:hAnsi="Arial"/>
                <w:sz w:val="18"/>
                <w:szCs w:val="18"/>
                <w:color w:val="auto"/>
                <w:w w:val="85"/>
              </w:rPr>
              <w:t>99.3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Press Release dated November 15,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4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spacing w:after="0" w:line="14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The Oncology Institute, Inc.</w:t>
            </w:r>
          </w:p>
        </w:tc>
      </w:tr>
      <w:tr>
        <w:trPr>
          <w:trHeight w:val="432"/>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18, 2021</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Hively</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Brad Hively</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THIRD AMENDED AND RESTATED CERTIFICATE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DFP HEALTHCARE ACQUISITIONS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November 12,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231F20"/>
        </w:rPr>
        <w:t>DFP Healthcare Acquisitions Corp., a corporation organized and existing under the laws of the state of Delaware (the “</w:t>
      </w:r>
      <w:r>
        <w:rPr>
          <w:rFonts w:ascii="Arial" w:cs="Arial" w:eastAsia="Arial" w:hAnsi="Arial"/>
          <w:sz w:val="18"/>
          <w:szCs w:val="18"/>
          <w:u w:val="single" w:color="auto"/>
          <w:color w:val="231F20"/>
        </w:rPr>
        <w:t>Corporation</w:t>
      </w:r>
      <w:r>
        <w:rPr>
          <w:rFonts w:ascii="Arial" w:cs="Arial" w:eastAsia="Arial" w:hAnsi="Arial"/>
          <w:sz w:val="18"/>
          <w:szCs w:val="18"/>
          <w:color w:val="231F20"/>
        </w:rPr>
        <w:t>”), does hereby certify as follows:</w:t>
      </w:r>
    </w:p>
    <w:p>
      <w:pPr>
        <w:spacing w:after="0" w:line="170" w:lineRule="exact"/>
        <w:rPr>
          <w:sz w:val="20"/>
          <w:szCs w:val="20"/>
          <w:color w:val="auto"/>
        </w:rPr>
      </w:pPr>
    </w:p>
    <w:p>
      <w:pPr>
        <w:ind w:left="660" w:right="40" w:hanging="328"/>
        <w:spacing w:after="0" w:line="263"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original certificate of incorporation of the Corporation was filed with the Secretary of State of Delaware (the “</w:t>
      </w:r>
      <w:r>
        <w:rPr>
          <w:rFonts w:ascii="Arial" w:cs="Arial" w:eastAsia="Arial" w:hAnsi="Arial"/>
          <w:sz w:val="18"/>
          <w:szCs w:val="18"/>
          <w:u w:val="single" w:color="auto"/>
          <w:color w:val="231F20"/>
        </w:rPr>
        <w:t>Secretary of State</w:t>
      </w:r>
      <w:r>
        <w:rPr>
          <w:rFonts w:ascii="Arial" w:cs="Arial" w:eastAsia="Arial" w:hAnsi="Arial"/>
          <w:sz w:val="18"/>
          <w:szCs w:val="18"/>
          <w:color w:val="231F20"/>
        </w:rPr>
        <w:t>”) on November 1, 2019 (the “</w:t>
      </w:r>
      <w:r>
        <w:rPr>
          <w:rFonts w:ascii="Arial" w:cs="Arial" w:eastAsia="Arial" w:hAnsi="Arial"/>
          <w:sz w:val="18"/>
          <w:szCs w:val="18"/>
          <w:u w:val="single" w:color="auto"/>
          <w:color w:val="231F20"/>
        </w:rPr>
        <w:t>Original Certificate of Incorporation</w:t>
      </w:r>
      <w:r>
        <w:rPr>
          <w:rFonts w:ascii="Arial" w:cs="Arial" w:eastAsia="Arial" w:hAnsi="Arial"/>
          <w:sz w:val="18"/>
          <w:szCs w:val="18"/>
          <w:color w:val="231F20"/>
        </w:rPr>
        <w:t>”). The name under which the Original Certificate of Incorporation was filed is “DFP Healthcare Acquisitions Corp.”</w:t>
      </w:r>
    </w:p>
    <w:p>
      <w:pPr>
        <w:spacing w:after="0" w:line="183" w:lineRule="exact"/>
        <w:rPr>
          <w:rFonts w:ascii="Arial" w:cs="Arial" w:eastAsia="Arial" w:hAnsi="Arial"/>
          <w:sz w:val="18"/>
          <w:szCs w:val="18"/>
          <w:color w:val="231F20"/>
        </w:rPr>
      </w:pPr>
    </w:p>
    <w:p>
      <w:pPr>
        <w:ind w:left="660" w:right="60" w:hanging="328"/>
        <w:spacing w:after="0" w:line="259"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Corporation’s First Amended and Restated Certificate of Incorporation, which amended and restated the provisions of the Original Certificate of Incorporation,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231F20"/>
        </w:rPr>
        <w:t>DGCL</w:t>
      </w:r>
      <w:r>
        <w:rPr>
          <w:rFonts w:ascii="Arial" w:cs="Arial" w:eastAsia="Arial" w:hAnsi="Arial"/>
          <w:sz w:val="18"/>
          <w:szCs w:val="18"/>
          <w:color w:val="231F20"/>
        </w:rPr>
        <w:t>”), and was filed with the Secretary of State on December 30, 2019 (as amended, the “</w:t>
      </w:r>
      <w:r>
        <w:rPr>
          <w:rFonts w:ascii="Arial" w:cs="Arial" w:eastAsia="Arial" w:hAnsi="Arial"/>
          <w:sz w:val="18"/>
          <w:szCs w:val="18"/>
          <w:u w:val="single" w:color="auto"/>
          <w:color w:val="231F20"/>
        </w:rPr>
        <w:t>First A&amp;R</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Certificate</w:t>
      </w:r>
      <w:r>
        <w:rPr>
          <w:rFonts w:ascii="Arial" w:cs="Arial" w:eastAsia="Arial" w:hAnsi="Arial"/>
          <w:sz w:val="18"/>
          <w:szCs w:val="18"/>
          <w:color w:val="231F20"/>
        </w:rPr>
        <w:t>”).</w:t>
      </w:r>
    </w:p>
    <w:p>
      <w:pPr>
        <w:spacing w:after="0" w:line="186" w:lineRule="exact"/>
        <w:rPr>
          <w:rFonts w:ascii="Arial" w:cs="Arial" w:eastAsia="Arial" w:hAnsi="Arial"/>
          <w:sz w:val="18"/>
          <w:szCs w:val="18"/>
          <w:color w:val="231F20"/>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Amendment No. 1 to the First A&amp;R Certificate was duly adopted in accordance with Sections 228, 242 and 245 of the DGCL and was filed with the Secretary of State on February 19, 2020.</w:t>
      </w:r>
    </w:p>
    <w:p>
      <w:pPr>
        <w:spacing w:after="0" w:line="170" w:lineRule="exact"/>
        <w:rPr>
          <w:rFonts w:ascii="Arial" w:cs="Arial" w:eastAsia="Arial" w:hAnsi="Arial"/>
          <w:sz w:val="18"/>
          <w:szCs w:val="18"/>
          <w:color w:val="231F20"/>
        </w:rPr>
      </w:pPr>
    </w:p>
    <w:p>
      <w:pPr>
        <w:ind w:left="660" w:hanging="328"/>
        <w:spacing w:after="0" w:line="263"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Second Amended and Restated Certificate of Incorporation (the “</w:t>
      </w:r>
      <w:r>
        <w:rPr>
          <w:rFonts w:ascii="Arial" w:cs="Arial" w:eastAsia="Arial" w:hAnsi="Arial"/>
          <w:sz w:val="18"/>
          <w:szCs w:val="18"/>
          <w:u w:val="single" w:color="auto"/>
          <w:color w:val="231F20"/>
        </w:rPr>
        <w:t>Second A&amp;R Certificate</w:t>
      </w:r>
      <w:r>
        <w:rPr>
          <w:rFonts w:ascii="Arial" w:cs="Arial" w:eastAsia="Arial" w:hAnsi="Arial"/>
          <w:sz w:val="18"/>
          <w:szCs w:val="18"/>
          <w:color w:val="231F20"/>
        </w:rPr>
        <w:t>”), which both restates and amends the provisions of the First A&amp;R Certificate, was duly adopted in accordance with Sections 228, 242 and 245 DGCL, and was filed with the Secretary of State on March 10, 2020.</w:t>
      </w:r>
    </w:p>
    <w:p>
      <w:pPr>
        <w:spacing w:after="0" w:line="183" w:lineRule="exact"/>
        <w:rPr>
          <w:rFonts w:ascii="Arial" w:cs="Arial" w:eastAsia="Arial" w:hAnsi="Arial"/>
          <w:sz w:val="18"/>
          <w:szCs w:val="18"/>
          <w:color w:val="231F20"/>
        </w:rPr>
      </w:pPr>
    </w:p>
    <w:p>
      <w:pPr>
        <w:ind w:left="660" w:right="120" w:hanging="328"/>
        <w:spacing w:after="0" w:line="308" w:lineRule="auto"/>
        <w:tabs>
          <w:tab w:leader="none" w:pos="66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This Third Amended and Restated Certificate of Incorporation (this “</w:t>
      </w:r>
      <w:r>
        <w:rPr>
          <w:rFonts w:ascii="Arial" w:cs="Arial" w:eastAsia="Arial" w:hAnsi="Arial"/>
          <w:sz w:val="17"/>
          <w:szCs w:val="17"/>
          <w:u w:val="single" w:color="auto"/>
          <w:color w:val="231F20"/>
        </w:rPr>
        <w:t>Third A&amp;R Certificate of Incorporation</w:t>
      </w:r>
      <w:r>
        <w:rPr>
          <w:rFonts w:ascii="Arial" w:cs="Arial" w:eastAsia="Arial" w:hAnsi="Arial"/>
          <w:sz w:val="17"/>
          <w:szCs w:val="17"/>
          <w:color w:val="231F20"/>
        </w:rPr>
        <w:t>”) was duly adopted by the Board of Directors of the Corporation and the stockholders of the Corporation in accordance with Sections 242 and 245 of the DGCL.</w:t>
      </w:r>
    </w:p>
    <w:p>
      <w:pPr>
        <w:spacing w:after="0" w:line="146" w:lineRule="exact"/>
        <w:rPr>
          <w:rFonts w:ascii="Arial" w:cs="Arial" w:eastAsia="Arial" w:hAnsi="Arial"/>
          <w:sz w:val="17"/>
          <w:szCs w:val="17"/>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This Third A&amp;R Certificate of Incorporation shall become effective upon filing with the Secretary of State.</w:t>
      </w:r>
    </w:p>
    <w:p>
      <w:pPr>
        <w:spacing w:after="0" w:line="225" w:lineRule="exact"/>
        <w:rPr>
          <w:rFonts w:ascii="Arial" w:cs="Arial" w:eastAsia="Arial" w:hAnsi="Arial"/>
          <w:sz w:val="18"/>
          <w:szCs w:val="18"/>
          <w:color w:val="231F20"/>
        </w:rPr>
      </w:pPr>
    </w:p>
    <w:p>
      <w:pPr>
        <w:ind w:left="660" w:right="20" w:hanging="328"/>
        <w:spacing w:after="0" w:line="270" w:lineRule="auto"/>
        <w:tabs>
          <w:tab w:leader="none" w:pos="66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The Second A&amp;R Certificate is being amended and restated in connection with the transactions contemplated by that certain Agreement and Plan of Merger, dated as of June 28, 2021, by and among the Corporation, Orion Merger Sub I, Inc., Orion Merger Sub II, LLC and TOI Parent Inc. (as amended, modified, supplemented or waived from time to time, the “</w:t>
      </w:r>
      <w:r>
        <w:rPr>
          <w:rFonts w:ascii="Arial" w:cs="Arial" w:eastAsia="Arial" w:hAnsi="Arial"/>
          <w:sz w:val="17"/>
          <w:szCs w:val="17"/>
          <w:u w:val="single" w:color="auto"/>
          <w:color w:val="231F20"/>
        </w:rPr>
        <w:t>Merger Agreement</w:t>
      </w:r>
      <w:r>
        <w:rPr>
          <w:rFonts w:ascii="Arial" w:cs="Arial" w:eastAsia="Arial" w:hAnsi="Arial"/>
          <w:sz w:val="17"/>
          <w:szCs w:val="17"/>
          <w:color w:val="231F20"/>
        </w:rPr>
        <w:t>”). As part of the transactions contemplated by the Merger Agreement, all of the shares of the Class B Common Stock of the Corporation were converted on a 1-for-1 basis into shares of Class A Common Stock of the Corporation such that, at the effectiveness of this Third A&amp;R Certificate of Incorporation, only Class A Common Stock remains outstanding. All Class A Common Stock issued and outstanding prior to the effectiveness of this Third A&amp;R Certificate of Incorporation and all Class A Common Stock issued as part of the Merger Agreement and the Subscription Agreements contemplated by the Merger Agreement shall be Common Stock for all purposes of this Third A&amp;R Certificate of Incorporation. This Third A&amp;R Certificate of Incorporation hereby amends and restates the provisions of the Second A&amp;R Certificate to read in its entirety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231F20"/>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NAME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name of the corporation is The Oncology Institute, Inc. (the “</w:t>
      </w:r>
      <w:r>
        <w:rPr>
          <w:rFonts w:ascii="Arial" w:cs="Arial" w:eastAsia="Arial" w:hAnsi="Arial"/>
          <w:sz w:val="18"/>
          <w:szCs w:val="18"/>
          <w:u w:val="single" w:color="auto"/>
          <w:color w:val="231F20"/>
        </w:rPr>
        <w:t>Corporation</w:t>
      </w:r>
      <w:r>
        <w:rPr>
          <w:rFonts w:ascii="Arial" w:cs="Arial" w:eastAsia="Arial" w:hAnsi="Arial"/>
          <w:sz w:val="18"/>
          <w:szCs w:val="18"/>
          <w:color w:val="231F20"/>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REGISTERED OFFICE AND AGENT</w:t>
      </w:r>
    </w:p>
    <w:p>
      <w:pPr>
        <w:spacing w:after="0" w:line="211"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231F20"/>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III PURPOSE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231F20"/>
        </w:rPr>
        <w:t>DGCL</w:t>
      </w:r>
      <w:r>
        <w:rPr>
          <w:rFonts w:ascii="Arial" w:cs="Arial" w:eastAsia="Arial" w:hAnsi="Arial"/>
          <w:sz w:val="18"/>
          <w:szCs w:val="18"/>
          <w:color w:val="231F20"/>
        </w:rPr>
        <w:t>”) as it now exists or may hereafter be amended and supplemented.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IV AUTHORIZED CAPITAL</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231F20"/>
        </w:rPr>
        <w:t>The Corporation is authorized to issue two classes of stock to be designated, respectively, “</w:t>
      </w:r>
      <w:r>
        <w:rPr>
          <w:rFonts w:ascii="Arial" w:cs="Arial" w:eastAsia="Arial" w:hAnsi="Arial"/>
          <w:sz w:val="18"/>
          <w:szCs w:val="18"/>
          <w:u w:val="single" w:color="auto"/>
          <w:color w:val="231F20"/>
        </w:rPr>
        <w:t>Common Stock</w:t>
      </w:r>
      <w:r>
        <w:rPr>
          <w:rFonts w:ascii="Arial" w:cs="Arial" w:eastAsia="Arial" w:hAnsi="Arial"/>
          <w:sz w:val="18"/>
          <w:szCs w:val="18"/>
          <w:color w:val="231F20"/>
        </w:rPr>
        <w:t>” and “</w:t>
      </w:r>
      <w:r>
        <w:rPr>
          <w:rFonts w:ascii="Arial" w:cs="Arial" w:eastAsia="Arial" w:hAnsi="Arial"/>
          <w:sz w:val="18"/>
          <w:szCs w:val="18"/>
          <w:u w:val="single" w:color="auto"/>
          <w:color w:val="231F20"/>
        </w:rPr>
        <w:t>Preferred Stock</w:t>
      </w:r>
      <w:r>
        <w:rPr>
          <w:rFonts w:ascii="Arial" w:cs="Arial" w:eastAsia="Arial" w:hAnsi="Arial"/>
          <w:sz w:val="18"/>
          <w:szCs w:val="18"/>
          <w:color w:val="231F20"/>
        </w:rPr>
        <w:t>.” The total number of shares of capital stock that the Corporation shall have authority to issue is 510,000,000. The total number of shares of Common Stock that the Corporation is authorized to issue is 500,000,000, having a par value of $0.0001 per share, and the total number of shares of Preferred Stock that the Corporation is authorized to issue is 10,000,000, having a par value of $0.0001 per share.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V CAPITAL STOCK</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231F20"/>
        </w:rPr>
        <w:t>The designations and the powers, privileges and rights, and the qualifications, limitations or restrictions thereof in respect of each class of capital stock of the Corporation are as follows:</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u w:val="single" w:color="auto"/>
          <w:color w:val="231F20"/>
        </w:rPr>
        <w:t>COMMON STOCK</w:t>
      </w:r>
      <w:r>
        <w:rPr>
          <w:rFonts w:ascii="Arial" w:cs="Arial" w:eastAsia="Arial" w:hAnsi="Arial"/>
          <w:sz w:val="18"/>
          <w:szCs w:val="18"/>
          <w:color w:val="231F20"/>
        </w:rPr>
        <w:t>.</w:t>
      </w:r>
    </w:p>
    <w:p>
      <w:pPr>
        <w:spacing w:after="0" w:line="225" w:lineRule="exact"/>
        <w:rPr>
          <w:rFonts w:ascii="Arial" w:cs="Arial" w:eastAsia="Arial" w:hAnsi="Arial"/>
          <w:sz w:val="18"/>
          <w:szCs w:val="18"/>
          <w:color w:val="231F20"/>
        </w:rPr>
      </w:pPr>
    </w:p>
    <w:p>
      <w:pPr>
        <w:ind w:left="340" w:right="80" w:firstLine="316"/>
        <w:spacing w:after="0" w:line="263" w:lineRule="auto"/>
        <w:tabs>
          <w:tab w:leader="none" w:pos="911" w:val="left"/>
        </w:tabs>
        <w:numPr>
          <w:ilvl w:val="1"/>
          <w:numId w:val="20"/>
        </w:numPr>
        <w:rPr>
          <w:rFonts w:ascii="Arial" w:cs="Arial" w:eastAsia="Arial" w:hAnsi="Arial"/>
          <w:sz w:val="18"/>
          <w:szCs w:val="18"/>
          <w:color w:val="231F20"/>
        </w:rPr>
      </w:pPr>
      <w:r>
        <w:rPr>
          <w:rFonts w:ascii="Arial" w:cs="Arial" w:eastAsia="Arial" w:hAnsi="Arial"/>
          <w:sz w:val="18"/>
          <w:szCs w:val="18"/>
          <w:u w:val="single" w:color="auto"/>
          <w:color w:val="231F20"/>
        </w:rPr>
        <w:t>General</w:t>
      </w:r>
      <w:r>
        <w:rPr>
          <w:rFonts w:ascii="Arial" w:cs="Arial" w:eastAsia="Arial" w:hAnsi="Arial"/>
          <w:sz w:val="18"/>
          <w:szCs w:val="18"/>
          <w:color w:val="231F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Arial" w:cs="Arial" w:eastAsia="Arial" w:hAnsi="Arial"/>
          <w:sz w:val="18"/>
          <w:szCs w:val="18"/>
          <w:u w:val="single" w:color="auto"/>
          <w:color w:val="231F20"/>
        </w:rPr>
        <w:t>Board of Directors</w:t>
      </w:r>
      <w:r>
        <w:rPr>
          <w:rFonts w:ascii="Arial" w:cs="Arial" w:eastAsia="Arial" w:hAnsi="Arial"/>
          <w:sz w:val="18"/>
          <w:szCs w:val="18"/>
          <w:color w:val="231F20"/>
        </w:rPr>
        <w:t>”) and outstanding from time to time.</w:t>
      </w:r>
    </w:p>
    <w:p>
      <w:pPr>
        <w:spacing w:after="0" w:line="183" w:lineRule="exact"/>
        <w:rPr>
          <w:rFonts w:ascii="Arial" w:cs="Arial" w:eastAsia="Arial" w:hAnsi="Arial"/>
          <w:sz w:val="18"/>
          <w:szCs w:val="18"/>
          <w:color w:val="231F20"/>
        </w:rPr>
      </w:pPr>
    </w:p>
    <w:p>
      <w:pPr>
        <w:ind w:left="340" w:right="100" w:firstLine="316"/>
        <w:spacing w:after="0" w:line="254" w:lineRule="auto"/>
        <w:tabs>
          <w:tab w:leader="none" w:pos="911" w:val="left"/>
        </w:tabs>
        <w:numPr>
          <w:ilvl w:val="1"/>
          <w:numId w:val="20"/>
        </w:numPr>
        <w:rPr>
          <w:rFonts w:ascii="Arial" w:cs="Arial" w:eastAsia="Arial" w:hAnsi="Arial"/>
          <w:sz w:val="18"/>
          <w:szCs w:val="18"/>
          <w:color w:val="231F20"/>
        </w:rPr>
      </w:pPr>
      <w:r>
        <w:rPr>
          <w:rFonts w:ascii="Arial" w:cs="Arial" w:eastAsia="Arial" w:hAnsi="Arial"/>
          <w:sz w:val="18"/>
          <w:szCs w:val="18"/>
          <w:u w:val="single" w:color="auto"/>
          <w:color w:val="231F20"/>
        </w:rPr>
        <w:t>Voting</w:t>
      </w:r>
      <w:r>
        <w:rPr>
          <w:rFonts w:ascii="Arial" w:cs="Arial" w:eastAsia="Arial" w:hAnsi="Arial"/>
          <w:sz w:val="18"/>
          <w:szCs w:val="18"/>
          <w:color w:val="231F20"/>
        </w:rPr>
        <w:t>. Except as otherwise provided herein or expressly required by law, each holder of Common Stock, as such, shall be entitled to vote on each matter submitted to a vote of stockholders and shall be entitled to one vote for each share of Common Stock held of record by such holder as of the record date for determining stockholders entitled to vote on such matter. Except as otherwise required by law, holders of Common Stock, as such, shall not be entitled to vote on any amendment to this Third A&amp;R Certificate of Incorporation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Third A&amp;R Certificate of Incorporation (including any Certificate of Designation) or pursuant to the DGCL.</w:t>
      </w:r>
    </w:p>
    <w:p>
      <w:pPr>
        <w:spacing w:after="0" w:line="192" w:lineRule="exact"/>
        <w:rPr>
          <w:sz w:val="20"/>
          <w:szCs w:val="20"/>
          <w:color w:val="auto"/>
        </w:rPr>
      </w:pPr>
    </w:p>
    <w:p>
      <w:pPr>
        <w:ind w:left="340" w:firstLine="324"/>
        <w:spacing w:after="0" w:line="263" w:lineRule="auto"/>
        <w:rPr>
          <w:sz w:val="20"/>
          <w:szCs w:val="20"/>
          <w:color w:val="auto"/>
        </w:rPr>
      </w:pPr>
      <w:r>
        <w:rPr>
          <w:rFonts w:ascii="Arial" w:cs="Arial" w:eastAsia="Arial" w:hAnsi="Arial"/>
          <w:sz w:val="18"/>
          <w:szCs w:val="18"/>
          <w:color w:val="231F20"/>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84" w:lineRule="exact"/>
        <w:rPr>
          <w:sz w:val="20"/>
          <w:szCs w:val="20"/>
          <w:color w:val="auto"/>
        </w:rPr>
      </w:pPr>
    </w:p>
    <w:p>
      <w:pPr>
        <w:ind w:left="340" w:right="140" w:firstLine="316"/>
        <w:spacing w:after="0" w:line="263" w:lineRule="auto"/>
        <w:tabs>
          <w:tab w:leader="none" w:pos="911" w:val="left"/>
        </w:tabs>
        <w:numPr>
          <w:ilvl w:val="0"/>
          <w:numId w:val="21"/>
        </w:numPr>
        <w:rPr>
          <w:rFonts w:ascii="Arial" w:cs="Arial" w:eastAsia="Arial" w:hAnsi="Arial"/>
          <w:sz w:val="18"/>
          <w:szCs w:val="18"/>
          <w:color w:val="231F20"/>
        </w:rPr>
      </w:pPr>
      <w:r>
        <w:rPr>
          <w:rFonts w:ascii="Arial" w:cs="Arial" w:eastAsia="Arial" w:hAnsi="Arial"/>
          <w:sz w:val="18"/>
          <w:szCs w:val="18"/>
          <w:u w:val="single" w:color="auto"/>
          <w:color w:val="231F20"/>
        </w:rPr>
        <w:t>Dividends</w:t>
      </w:r>
      <w:r>
        <w:rPr>
          <w:rFonts w:ascii="Arial" w:cs="Arial" w:eastAsia="Arial" w:hAnsi="Arial"/>
          <w:sz w:val="18"/>
          <w:szCs w:val="18"/>
          <w:color w:val="231F20"/>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340" w:firstLine="316"/>
        <w:spacing w:after="0" w:line="259" w:lineRule="auto"/>
        <w:tabs>
          <w:tab w:leader="none" w:pos="911" w:val="left"/>
        </w:tabs>
        <w:numPr>
          <w:ilvl w:val="1"/>
          <w:numId w:val="22"/>
        </w:numPr>
        <w:rPr>
          <w:rFonts w:ascii="Arial" w:cs="Arial" w:eastAsia="Arial" w:hAnsi="Arial"/>
          <w:sz w:val="18"/>
          <w:szCs w:val="18"/>
          <w:color w:val="231F20"/>
        </w:rPr>
      </w:pPr>
      <w:r>
        <w:rPr>
          <w:rFonts w:ascii="Arial" w:cs="Arial" w:eastAsia="Arial" w:hAnsi="Arial"/>
          <w:sz w:val="18"/>
          <w:szCs w:val="18"/>
          <w:u w:val="single" w:color="auto"/>
          <w:color w:val="231F20"/>
        </w:rPr>
        <w:t>Liquidation</w:t>
      </w:r>
      <w:r>
        <w:rPr>
          <w:rFonts w:ascii="Arial" w:cs="Arial" w:eastAsia="Arial" w:hAnsi="Arial"/>
          <w:sz w:val="18"/>
          <w:szCs w:val="18"/>
          <w:color w:val="231F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18"/>
          <w:szCs w:val="18"/>
          <w:u w:val="single" w:color="auto"/>
          <w:color w:val="231F20"/>
        </w:rPr>
        <w:t>pro rata</w:t>
      </w:r>
      <w:r>
        <w:rPr>
          <w:rFonts w:ascii="Arial" w:cs="Arial" w:eastAsia="Arial" w:hAnsi="Arial"/>
          <w:sz w:val="18"/>
          <w:szCs w:val="18"/>
          <w:color w:val="231F20"/>
        </w:rPr>
        <w:t xml:space="preserve"> in accordance with the number of shares of Common Stock held by each such holder.</w:t>
      </w:r>
    </w:p>
    <w:p>
      <w:pPr>
        <w:spacing w:after="0" w:line="186" w:lineRule="exact"/>
        <w:rPr>
          <w:rFonts w:ascii="Arial" w:cs="Arial" w:eastAsia="Arial" w:hAnsi="Arial"/>
          <w:sz w:val="18"/>
          <w:szCs w:val="18"/>
          <w:color w:val="231F20"/>
        </w:rPr>
      </w:pPr>
    </w:p>
    <w:p>
      <w:pPr>
        <w:ind w:left="340" w:firstLine="316"/>
        <w:spacing w:after="0" w:line="263" w:lineRule="auto"/>
        <w:tabs>
          <w:tab w:leader="none" w:pos="911" w:val="left"/>
        </w:tabs>
        <w:numPr>
          <w:ilvl w:val="1"/>
          <w:numId w:val="22"/>
        </w:numPr>
        <w:rPr>
          <w:rFonts w:ascii="Arial" w:cs="Arial" w:eastAsia="Arial" w:hAnsi="Arial"/>
          <w:sz w:val="18"/>
          <w:szCs w:val="18"/>
          <w:color w:val="231F20"/>
        </w:rPr>
      </w:pPr>
      <w:r>
        <w:rPr>
          <w:rFonts w:ascii="Arial" w:cs="Arial" w:eastAsia="Arial" w:hAnsi="Arial"/>
          <w:sz w:val="18"/>
          <w:szCs w:val="18"/>
          <w:u w:val="single" w:color="auto"/>
          <w:color w:val="231F20"/>
        </w:rPr>
        <w:t>Transfer Rights</w:t>
      </w:r>
      <w:r>
        <w:rPr>
          <w:rFonts w:ascii="Arial" w:cs="Arial" w:eastAsia="Arial" w:hAnsi="Arial"/>
          <w:sz w:val="18"/>
          <w:szCs w:val="18"/>
          <w:color w:val="231F20"/>
        </w:rPr>
        <w:t>. Subject to applicable law and the transfer restrictions set forth in Article VII of the bylaws of the Corporation (as such Bylaws may be amended from time to time, the “</w:t>
      </w:r>
      <w:r>
        <w:rPr>
          <w:rFonts w:ascii="Arial" w:cs="Arial" w:eastAsia="Arial" w:hAnsi="Arial"/>
          <w:sz w:val="18"/>
          <w:szCs w:val="18"/>
          <w:u w:val="single" w:color="auto"/>
          <w:color w:val="231F20"/>
        </w:rPr>
        <w:t>Bylaws</w:t>
      </w:r>
      <w:r>
        <w:rPr>
          <w:rFonts w:ascii="Arial" w:cs="Arial" w:eastAsia="Arial" w:hAnsi="Arial"/>
          <w:sz w:val="18"/>
          <w:szCs w:val="18"/>
          <w:color w:val="231F20"/>
        </w:rPr>
        <w:t>”), shares of Common Stock and the rights and obligations associated therewith shall be fully transferable to any transferee.</w:t>
      </w:r>
    </w:p>
    <w:p>
      <w:pPr>
        <w:spacing w:after="0" w:line="183"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u w:val="single" w:color="auto"/>
          <w:color w:val="231F20"/>
        </w:rPr>
        <w:t>PREFERRED STOCK</w:t>
      </w:r>
    </w:p>
    <w:p>
      <w:pPr>
        <w:spacing w:after="0" w:line="22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231F20"/>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2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231F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Arial" w:cs="Arial" w:eastAsia="Arial" w:hAnsi="Arial"/>
          <w:sz w:val="16"/>
          <w:szCs w:val="16"/>
          <w:u w:val="single" w:color="auto"/>
          <w:color w:val="231F20"/>
        </w:rPr>
        <w:t>Certificate of Designation</w:t>
      </w:r>
      <w:r>
        <w:rPr>
          <w:rFonts w:ascii="Arial" w:cs="Arial" w:eastAsia="Arial" w:hAnsi="Arial"/>
          <w:sz w:val="16"/>
          <w:szCs w:val="16"/>
          <w:color w:val="231F20"/>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Third A&amp;R Certificate of Incorporation (including any Certificate of Designation). Except as otherwise required by law, holders of any series of Preferred Stock shall be entitled only to such voting rights, if any, as shall expressly be granted thereto by this Third A&amp;R Certificate of Incorporation (including any Certificate of Designation).</w:t>
      </w:r>
    </w:p>
    <w:p>
      <w:pPr>
        <w:spacing w:after="0" w:line="17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231F20"/>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BOARD OF DIRECTORS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For the management of the business and for the conduct of the affairs of the Corporation it is further provided that:</w:t>
      </w:r>
    </w:p>
    <w:p>
      <w:pPr>
        <w:spacing w:after="0" w:line="225" w:lineRule="exact"/>
        <w:rPr>
          <w:sz w:val="20"/>
          <w:szCs w:val="20"/>
          <w:color w:val="auto"/>
        </w:rPr>
      </w:pPr>
    </w:p>
    <w:p>
      <w:pPr>
        <w:ind w:right="180" w:firstLine="332"/>
        <w:spacing w:after="0" w:line="286" w:lineRule="auto"/>
        <w:tabs>
          <w:tab w:leader="none" w:pos="589"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Except as otherwise expressly provided by the DGCL or this Third A&amp;R Certificate of Incorporation, the business and affairs of the Corporation shall be managed by or under the direction of the Board of Directors. The number of directors that shall constitute the whole Board of Directors shall be fixed exclusively by one or more resolutions adopted from time to time by the Board of Directors in accordance with the Bylaws.</w:t>
      </w:r>
    </w:p>
    <w:p>
      <w:pPr>
        <w:spacing w:after="0" w:line="165" w:lineRule="exact"/>
        <w:rPr>
          <w:rFonts w:ascii="Arial" w:cs="Arial" w:eastAsia="Arial" w:hAnsi="Arial"/>
          <w:sz w:val="17"/>
          <w:szCs w:val="17"/>
          <w:color w:val="231F20"/>
        </w:rPr>
      </w:pPr>
    </w:p>
    <w:p>
      <w:pPr>
        <w:ind w:right="160" w:firstLine="332"/>
        <w:spacing w:after="0" w:line="286" w:lineRule="auto"/>
        <w:tabs>
          <w:tab w:leader="none" w:pos="601"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Subject to the special rights of the holders of one or more outstanding series of Preferred Stock to elect directors, the Board of Directors or any individual director may be removed from office at any time, with or without cause and only by the affirmative vote of the holders of at least a majority of the voting power of all of the then outstanding shares of voting stock of the Corporation entitled to vote at an election of directors.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 w:name="page38"/>
    <w:bookmarkEnd w:id="37"/>
    <w:p>
      <w:pPr>
        <w:ind w:left="-40" w:right="100" w:firstLine="332"/>
        <w:spacing w:after="0" w:line="293" w:lineRule="auto"/>
        <w:tabs>
          <w:tab w:leader="none" w:pos="561" w:val="left"/>
        </w:tabs>
        <w:numPr>
          <w:ilvl w:val="0"/>
          <w:numId w:val="25"/>
        </w:numPr>
        <w:rPr>
          <w:rFonts w:ascii="Arial" w:cs="Arial" w:eastAsia="Arial" w:hAnsi="Arial"/>
          <w:sz w:val="16"/>
          <w:szCs w:val="16"/>
          <w:color w:val="231F20"/>
        </w:rPr>
      </w:pPr>
      <w:r>
        <w:rPr>
          <w:rFonts w:ascii="Arial" w:cs="Arial" w:eastAsia="Arial" w:hAnsi="Arial"/>
          <w:sz w:val="16"/>
          <w:szCs w:val="16"/>
          <w:color w:val="231F20"/>
        </w:rPr>
        <w:t>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or until his or her earlier death, resignation, retirement, disqualification, or removal.</w:t>
      </w:r>
    </w:p>
    <w:p>
      <w:pPr>
        <w:spacing w:after="0" w:line="164" w:lineRule="exact"/>
        <w:rPr>
          <w:rFonts w:ascii="Arial" w:cs="Arial" w:eastAsia="Arial" w:hAnsi="Arial"/>
          <w:sz w:val="16"/>
          <w:szCs w:val="16"/>
          <w:color w:val="231F20"/>
        </w:rPr>
      </w:pPr>
    </w:p>
    <w:p>
      <w:pPr>
        <w:ind w:left="-40" w:firstLine="332"/>
        <w:spacing w:after="0" w:line="287" w:lineRule="auto"/>
        <w:tabs>
          <w:tab w:leader="none" w:pos="546" w:val="left"/>
        </w:tabs>
        <w:numPr>
          <w:ilvl w:val="0"/>
          <w:numId w:val="25"/>
        </w:numPr>
        <w:rPr>
          <w:rFonts w:ascii="Arial" w:cs="Arial" w:eastAsia="Arial" w:hAnsi="Arial"/>
          <w:sz w:val="16"/>
          <w:szCs w:val="16"/>
          <w:color w:val="231F20"/>
        </w:rPr>
      </w:pPr>
      <w:r>
        <w:rPr>
          <w:rFonts w:ascii="Arial" w:cs="Arial" w:eastAsia="Arial" w:hAnsi="Arial"/>
          <w:sz w:val="16"/>
          <w:szCs w:val="16"/>
          <w:color w:val="231F20"/>
        </w:rPr>
        <w:t xml:space="preserve">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Third A&amp;R Certificate of Incorporation (including any Certificate of Designation). Notwithstanding anything to the contrary in this </w:t>
      </w:r>
      <w:r>
        <w:rPr>
          <w:rFonts w:ascii="Arial" w:cs="Arial" w:eastAsia="Arial" w:hAnsi="Arial"/>
          <w:sz w:val="16"/>
          <w:szCs w:val="16"/>
          <w:u w:val="single" w:color="auto"/>
          <w:color w:val="231F20"/>
        </w:rPr>
        <w:t>Article VI</w:t>
      </w:r>
      <w:r>
        <w:rPr>
          <w:rFonts w:ascii="Arial" w:cs="Arial" w:eastAsia="Arial" w:hAnsi="Arial"/>
          <w:sz w:val="16"/>
          <w:szCs w:val="16"/>
          <w:color w:val="231F20"/>
        </w:rPr>
        <w:t xml:space="preserve">, the number of directors that may be elected by the holders of any such series of Preferred Stock shall be in addition to the number fixed pursuant to paragraph B of this </w:t>
      </w:r>
      <w:r>
        <w:rPr>
          <w:rFonts w:ascii="Arial" w:cs="Arial" w:eastAsia="Arial" w:hAnsi="Arial"/>
          <w:sz w:val="16"/>
          <w:szCs w:val="16"/>
          <w:u w:val="single" w:color="auto"/>
          <w:color w:val="231F20"/>
        </w:rPr>
        <w:t>Article VI</w:t>
      </w:r>
      <w:r>
        <w:rPr>
          <w:rFonts w:ascii="Arial" w:cs="Arial" w:eastAsia="Arial" w:hAnsi="Arial"/>
          <w:sz w:val="16"/>
          <w:szCs w:val="16"/>
          <w:color w:val="231F20"/>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71" w:lineRule="exact"/>
        <w:rPr>
          <w:rFonts w:ascii="Arial" w:cs="Arial" w:eastAsia="Arial" w:hAnsi="Arial"/>
          <w:sz w:val="16"/>
          <w:szCs w:val="16"/>
          <w:color w:val="231F20"/>
        </w:rPr>
      </w:pPr>
    </w:p>
    <w:p>
      <w:pPr>
        <w:ind w:left="-40" w:right="40" w:firstLine="332"/>
        <w:spacing w:after="0" w:line="290" w:lineRule="auto"/>
        <w:tabs>
          <w:tab w:leader="none" w:pos="551" w:val="left"/>
        </w:tabs>
        <w:numPr>
          <w:ilvl w:val="0"/>
          <w:numId w:val="25"/>
        </w:numPr>
        <w:rPr>
          <w:rFonts w:ascii="Arial" w:cs="Arial" w:eastAsia="Arial" w:hAnsi="Arial"/>
          <w:sz w:val="16"/>
          <w:szCs w:val="16"/>
          <w:color w:val="231F20"/>
        </w:rPr>
      </w:pPr>
      <w:r>
        <w:rPr>
          <w:rFonts w:ascii="Arial" w:cs="Arial" w:eastAsia="Arial" w:hAnsi="Arial"/>
          <w:sz w:val="16"/>
          <w:szCs w:val="16"/>
          <w:color w:val="231F20"/>
        </w:rPr>
        <w:t xml:space="preserve">In furtherance and not in limitation of the powers conferred by statute, the Board of Directors is expressly authorized to adopt, amend or repeal the Bylaws, subject to the power of the stockholders of the Corporation entitled to vote with respect thereto to adopt, amend or repeal the Bylaws. The stockholders of the Corporation shall also have the power to adopt, amend or repeal the Bylaws; </w:t>
      </w:r>
      <w:r>
        <w:rPr>
          <w:rFonts w:ascii="Arial" w:cs="Arial" w:eastAsia="Arial" w:hAnsi="Arial"/>
          <w:sz w:val="16"/>
          <w:szCs w:val="16"/>
          <w:u w:val="single" w:color="auto"/>
          <w:color w:val="231F20"/>
        </w:rPr>
        <w:t>provided</w:t>
      </w:r>
      <w:r>
        <w:rPr>
          <w:rFonts w:ascii="Arial" w:cs="Arial" w:eastAsia="Arial" w:hAnsi="Arial"/>
          <w:sz w:val="16"/>
          <w:szCs w:val="16"/>
          <w:color w:val="231F20"/>
        </w:rPr>
        <w:t xml:space="preserve">, that in addition to any vote of the holders of any class or series of stock of the Corporation required by applicable law or by this Third A&amp;R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 </w:t>
      </w:r>
      <w:r>
        <w:rPr>
          <w:rFonts w:ascii="Arial" w:cs="Arial" w:eastAsia="Arial" w:hAnsi="Arial"/>
          <w:sz w:val="16"/>
          <w:szCs w:val="16"/>
          <w:u w:val="single" w:color="auto"/>
          <w:color w:val="231F20"/>
        </w:rPr>
        <w:t>provided</w:t>
      </w:r>
      <w:r>
        <w:rPr>
          <w:rFonts w:ascii="Arial" w:cs="Arial" w:eastAsia="Arial" w:hAnsi="Arial"/>
          <w:sz w:val="16"/>
          <w:szCs w:val="16"/>
          <w:color w:val="231F20"/>
        </w:rPr>
        <w:t>, further, that no Bylaws hereafter adopted by the stockholders shall invalidate any prior act of the Board of Directors that would have been valid if such Bylaws had not been adopted.</w:t>
      </w:r>
    </w:p>
    <w:p>
      <w:pPr>
        <w:spacing w:after="0" w:line="165" w:lineRule="exact"/>
        <w:rPr>
          <w:rFonts w:ascii="Arial" w:cs="Arial" w:eastAsia="Arial" w:hAnsi="Arial"/>
          <w:sz w:val="16"/>
          <w:szCs w:val="16"/>
          <w:color w:val="231F20"/>
        </w:rPr>
      </w:pPr>
    </w:p>
    <w:p>
      <w:pPr>
        <w:ind w:left="540" w:hanging="248"/>
        <w:spacing w:after="0"/>
        <w:tabs>
          <w:tab w:leader="none" w:pos="5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directors of the Corporation need not be elected by written ballot unless the Bylaws so provide.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MEETINGS OF STOCKHOLDERS; ACTION BY WRITTEN CONSENT</w:t>
      </w:r>
    </w:p>
    <w:p>
      <w:pPr>
        <w:spacing w:after="0" w:line="211" w:lineRule="exact"/>
        <w:rPr>
          <w:sz w:val="20"/>
          <w:szCs w:val="20"/>
          <w:color w:val="auto"/>
        </w:rPr>
      </w:pPr>
    </w:p>
    <w:p>
      <w:pPr>
        <w:ind w:left="-40" w:right="20" w:firstLine="332"/>
        <w:spacing w:after="0" w:line="254" w:lineRule="auto"/>
        <w:tabs>
          <w:tab w:leader="none" w:pos="539"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38" w:name="page39"/>
    <w:bookmarkEnd w:id="38"/>
    <w:p>
      <w:pPr>
        <w:ind w:firstLine="332"/>
        <w:spacing w:after="0" w:line="257" w:lineRule="auto"/>
        <w:tabs>
          <w:tab w:leader="none" w:pos="601"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Subject to the special rights of the holders of one or more series of Preferred Stock, and to the requirements of applicable law, special meetings of the stockholders of the Corporation may be called for any purpose or purposes, at any time only by or at the direction of the majority of the Board of Directors, the Chairperson of the Board of Directors, the Chief Executive Officer or President, in each case, in accordance with the Bylaws, and shall not be called by any other person or persons. Any such special meeting so called may be postponed, rescheduled or cancelled by the Board of Directors or other person calling the meeting.</w:t>
      </w:r>
    </w:p>
    <w:p>
      <w:pPr>
        <w:spacing w:after="0" w:line="187" w:lineRule="exact"/>
        <w:rPr>
          <w:rFonts w:ascii="Arial" w:cs="Arial" w:eastAsia="Arial" w:hAnsi="Arial"/>
          <w:sz w:val="18"/>
          <w:szCs w:val="18"/>
          <w:color w:val="231F20"/>
        </w:rPr>
      </w:pPr>
    </w:p>
    <w:p>
      <w:pPr>
        <w:ind w:right="240" w:firstLine="332"/>
        <w:spacing w:after="0" w:line="286" w:lineRule="auto"/>
        <w:tabs>
          <w:tab w:leader="none" w:pos="592"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Advance notice of stockholder nominations for the election of directors and of other business proposed to be brought by stockholders before any meeting of the stockholders of the Corporation shall be given in the manner provided in the Bylaws. Any business transacted at any special meeting of stockholders shall be limited to matters relating to the purpose or purposes identified in the notice of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LIMITATION OF DIRECTOR LIABILITY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No director of the Corporation shall have any personal liability to the Corporation or its stockholders for monetary damages for any breach of fiduciary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duty as a director, except to the extent such exemption from liability or limitation thereof is not permitted under the DGCL as the same exists or hereafter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may be amended. Any amendment, repeal or modification of this </w:t>
      </w:r>
      <w:r>
        <w:rPr>
          <w:rFonts w:ascii="Arial" w:cs="Arial" w:eastAsia="Arial" w:hAnsi="Arial"/>
          <w:sz w:val="18"/>
          <w:szCs w:val="18"/>
          <w:u w:val="single" w:color="auto"/>
          <w:color w:val="231F20"/>
        </w:rPr>
        <w:t>Article VIII</w:t>
      </w:r>
      <w:r>
        <w:rPr>
          <w:rFonts w:ascii="Arial" w:cs="Arial" w:eastAsia="Arial" w:hAnsi="Arial"/>
          <w:sz w:val="18"/>
          <w:szCs w:val="18"/>
          <w:color w:val="231F20"/>
        </w:rPr>
        <w:t>, or the adoption of any provision of this Third A&amp;R 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Incorporation inconsistent with this </w:t>
      </w:r>
      <w:r>
        <w:rPr>
          <w:rFonts w:ascii="Arial" w:cs="Arial" w:eastAsia="Arial" w:hAnsi="Arial"/>
          <w:sz w:val="16"/>
          <w:szCs w:val="16"/>
          <w:u w:val="single" w:color="auto"/>
          <w:color w:val="231F20"/>
        </w:rPr>
        <w:t>Article VIII</w:t>
      </w:r>
      <w:r>
        <w:rPr>
          <w:rFonts w:ascii="Arial" w:cs="Arial" w:eastAsia="Arial" w:hAnsi="Arial"/>
          <w:sz w:val="16"/>
          <w:szCs w:val="16"/>
          <w:color w:val="231F20"/>
        </w:rPr>
        <w:t>, shall not adversely affect any right or protection of a director of the Corporation with respect to any act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omission occurring prior to such amendment, repeal, modification or adoption. If the DGCL is amended after approval by the stockholders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231F20"/>
        </w:rPr>
        <w:t>Article VIII</w:t>
      </w:r>
      <w:r>
        <w:rPr>
          <w:rFonts w:ascii="Arial" w:cs="Arial" w:eastAsia="Arial" w:hAnsi="Arial"/>
          <w:sz w:val="17"/>
          <w:szCs w:val="17"/>
          <w:color w:val="231F20"/>
        </w:rPr>
        <w:t xml:space="preserve"> to authorize corporate action further eliminating or limiting the personal liability of directors, then the liability of a director of the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shall be eliminated or limited to the fullest extent permitted by the DGCL as so amended.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INDEMNIFICATION</w:t>
      </w:r>
    </w:p>
    <w:p>
      <w:pPr>
        <w:spacing w:after="0" w:line="21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231F20"/>
        </w:rPr>
        <w:t xml:space="preserve">The Corporation shall indemnify any person to the fullest extent authorized or permitted by applicable law, as now or hereafter in effect,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6"/>
          <w:szCs w:val="16"/>
          <w:u w:val="single" w:color="auto"/>
          <w:color w:val="231F20"/>
        </w:rPr>
        <w:t>provided</w:t>
      </w:r>
      <w:r>
        <w:rPr>
          <w:rFonts w:ascii="Arial" w:cs="Arial" w:eastAsia="Arial" w:hAnsi="Arial"/>
          <w:sz w:val="16"/>
          <w:szCs w:val="16"/>
          <w:color w:val="231F20"/>
        </w:rPr>
        <w:t xml:space="preserve">, </w:t>
      </w:r>
      <w:r>
        <w:rPr>
          <w:rFonts w:ascii="Arial" w:cs="Arial" w:eastAsia="Arial" w:hAnsi="Arial"/>
          <w:sz w:val="16"/>
          <w:szCs w:val="16"/>
          <w:u w:val="single" w:color="auto"/>
          <w:color w:val="231F20"/>
        </w:rPr>
        <w:t>however</w:t>
      </w:r>
      <w:r>
        <w:rPr>
          <w:rFonts w:ascii="Arial" w:cs="Arial" w:eastAsia="Arial" w:hAnsi="Arial"/>
          <w:sz w:val="16"/>
          <w:szCs w:val="16"/>
          <w:color w:val="231F20"/>
        </w:rPr>
        <w:t xml:space="preserve">,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6"/>
          <w:szCs w:val="16"/>
          <w:u w:val="single" w:color="auto"/>
          <w:color w:val="231F20"/>
        </w:rPr>
        <w:t>Article IX</w:t>
      </w:r>
      <w:r>
        <w:rPr>
          <w:rFonts w:ascii="Arial" w:cs="Arial" w:eastAsia="Arial" w:hAnsi="Arial"/>
          <w:sz w:val="16"/>
          <w:szCs w:val="16"/>
          <w:color w:val="231F20"/>
        </w:rPr>
        <w:t xml:space="preserve"> shall include the right to be paid by the Corporation the expenses (including attorney’s fees)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Arial" w:cs="Arial" w:eastAsia="Arial" w:hAnsi="Arial"/>
          <w:sz w:val="16"/>
          <w:szCs w:val="16"/>
          <w:u w:val="single" w:color="auto"/>
          <w:color w:val="231F20"/>
        </w:rPr>
        <w:t>Article IX</w:t>
      </w:r>
      <w:r>
        <w:rPr>
          <w:rFonts w:ascii="Arial" w:cs="Arial" w:eastAsia="Arial" w:hAnsi="Arial"/>
          <w:sz w:val="16"/>
          <w:szCs w:val="16"/>
          <w:color w:val="231F20"/>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6"/>
          <w:szCs w:val="16"/>
          <w:u w:val="single" w:color="auto"/>
          <w:color w:val="231F20"/>
        </w:rPr>
        <w:t>Article IX</w:t>
      </w:r>
      <w:r>
        <w:rPr>
          <w:rFonts w:ascii="Arial" w:cs="Arial" w:eastAsia="Arial" w:hAnsi="Arial"/>
          <w:sz w:val="16"/>
          <w:szCs w:val="16"/>
          <w:color w:val="231F20"/>
        </w:rPr>
        <w:t xml:space="preserve"> to directors and officers of the Corporation. The rights to indemnification and to the advancement of expenses conferred in this </w:t>
      </w:r>
      <w:r>
        <w:rPr>
          <w:rFonts w:ascii="Arial" w:cs="Arial" w:eastAsia="Arial" w:hAnsi="Arial"/>
          <w:sz w:val="16"/>
          <w:szCs w:val="16"/>
          <w:u w:val="single" w:color="auto"/>
          <w:color w:val="231F20"/>
        </w:rPr>
        <w:t>Article IX</w:t>
      </w:r>
      <w:r>
        <w:rPr>
          <w:rFonts w:ascii="Arial" w:cs="Arial" w:eastAsia="Arial" w:hAnsi="Arial"/>
          <w:sz w:val="16"/>
          <w:szCs w:val="16"/>
          <w:color w:val="231F20"/>
        </w:rPr>
        <w:t xml:space="preserve"> shall not be exclusive of any other right which any person may have or hereafter acquire under this Third A&amp;R Certificate of Incorporation, the Bylaws, any statute, agreement, vote of stockholders or disinterested directors or otherwise. Any repeal or modification of this </w:t>
      </w:r>
      <w:r>
        <w:rPr>
          <w:rFonts w:ascii="Arial" w:cs="Arial" w:eastAsia="Arial" w:hAnsi="Arial"/>
          <w:sz w:val="16"/>
          <w:szCs w:val="16"/>
          <w:u w:val="single" w:color="auto"/>
          <w:color w:val="231F20"/>
        </w:rPr>
        <w:t>Article IX</w:t>
      </w:r>
      <w:r>
        <w:rPr>
          <w:rFonts w:ascii="Arial" w:cs="Arial" w:eastAsia="Arial" w:hAnsi="Arial"/>
          <w:sz w:val="16"/>
          <w:szCs w:val="16"/>
          <w:color w:val="231F20"/>
        </w:rPr>
        <w:t xml:space="preserve"> by the stockholders of the Corporation shall not adversely affect any rights to indemnification and to the advancement of expenses of a director, officer, employee or agent of the Corporation (collectively, the “</w:t>
      </w:r>
      <w:r>
        <w:rPr>
          <w:rFonts w:ascii="Arial" w:cs="Arial" w:eastAsia="Arial" w:hAnsi="Arial"/>
          <w:sz w:val="16"/>
          <w:szCs w:val="16"/>
          <w:u w:val="single" w:color="auto"/>
          <w:color w:val="231F20"/>
        </w:rPr>
        <w:t>Covered Persons</w:t>
      </w:r>
      <w:r>
        <w:rPr>
          <w:rFonts w:ascii="Arial" w:cs="Arial" w:eastAsia="Arial" w:hAnsi="Arial"/>
          <w:sz w:val="16"/>
          <w:szCs w:val="16"/>
          <w:color w:val="231F20"/>
        </w:rPr>
        <w:t>”) existing at the time of such repeal or modification with respect to any acts or omissions occurring prior to such repeal or modification.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firstLine="324"/>
        <w:spacing w:after="0" w:line="286" w:lineRule="auto"/>
        <w:rPr>
          <w:sz w:val="20"/>
          <w:szCs w:val="20"/>
          <w:color w:val="auto"/>
        </w:rPr>
      </w:pPr>
      <w:r>
        <w:rPr>
          <w:rFonts w:ascii="Arial" w:cs="Arial" w:eastAsia="Arial" w:hAnsi="Arial"/>
          <w:sz w:val="16"/>
          <w:szCs w:val="16"/>
          <w:color w:val="231F20"/>
        </w:rPr>
        <w:t>The Corporation hereby acknowledges that certain Covered Persons may have rights to indemnification and advancement of expenses (directly or through insurance obtained by any such entity) provided by one or more third parties (collectively, the “</w:t>
      </w:r>
      <w:r>
        <w:rPr>
          <w:rFonts w:ascii="Arial" w:cs="Arial" w:eastAsia="Arial" w:hAnsi="Arial"/>
          <w:sz w:val="16"/>
          <w:szCs w:val="16"/>
          <w:u w:val="single" w:color="auto"/>
          <w:color w:val="231F20"/>
        </w:rPr>
        <w:t>Other Indemnitors</w:t>
      </w:r>
      <w:r>
        <w:rPr>
          <w:rFonts w:ascii="Arial" w:cs="Arial" w:eastAsia="Arial" w:hAnsi="Arial"/>
          <w:sz w:val="16"/>
          <w:szCs w:val="16"/>
          <w:color w:val="231F20"/>
        </w:rPr>
        <w:t>”),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and (ii) the Corporation shall be required to indemnify and advance the full amount of expenses incurred by the Covered Persons, to the fullest extent required by law, the terms of this Third A&amp;R Certificate of Incorporation, the Bylaws, any agreement to which the Corporation is a party, any vote of the stockholders or the Board of Directors, or otherwise, without regard to any rights the Covered Persons may have against the Other Indemnitors.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 Notwithstanding anything to the contrary herein, the obligations of the Corporation under this paragraph shall only apply to Covered Persons in their capacity as Covered Persons.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COMPETITION AND CORPORATE OPPORTUNITIES</w:t>
      </w:r>
    </w:p>
    <w:p>
      <w:pPr>
        <w:spacing w:after="0" w:line="211" w:lineRule="exact"/>
        <w:rPr>
          <w:sz w:val="20"/>
          <w:szCs w:val="20"/>
          <w:color w:val="auto"/>
        </w:rPr>
      </w:pPr>
    </w:p>
    <w:p>
      <w:pPr>
        <w:ind w:firstLine="332"/>
        <w:spacing w:after="0" w:line="268" w:lineRule="auto"/>
        <w:tabs>
          <w:tab w:leader="none" w:pos="589"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In recognition and anticipation that (a) certain directors, principals, officers, employees and/or other representatives of the Sponsor, (as defined in the Registration Rights Agreement) and its Affiliates (as defined below) may serve as directors, officers or agents of the Corporation, (b) the Sponsor and its Affiliates, including (i) any portfolio company in which it or any of its investment fund Affiliates have made a debt or equity investment (and vice versa) or (ii) any of its limited partners, non-managing members or other similar direct or indirect investors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(c) members of the Board of Directors who are not employees of the Corporation (“</w:t>
      </w:r>
      <w:r>
        <w:rPr>
          <w:rFonts w:ascii="Arial" w:cs="Arial" w:eastAsia="Arial" w:hAnsi="Arial"/>
          <w:sz w:val="17"/>
          <w:szCs w:val="17"/>
          <w:u w:val="single" w:color="auto"/>
          <w:color w:val="231F20"/>
        </w:rPr>
        <w:t>Non-Employee Directors</w:t>
      </w:r>
      <w:r>
        <w:rPr>
          <w:rFonts w:ascii="Arial" w:cs="Arial" w:eastAsia="Arial" w:hAnsi="Arial"/>
          <w:sz w:val="17"/>
          <w:szCs w:val="17"/>
          <w:color w:val="231F20"/>
        </w:rPr>
        <w:t xml:space="preserve">”) and their respective Affiliates, including (i) any portfolio company in which they or any of their respective investment fund Affiliates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Arial" w:cs="Arial" w:eastAsia="Arial" w:hAnsi="Arial"/>
          <w:sz w:val="17"/>
          <w:szCs w:val="17"/>
          <w:u w:val="single" w:color="auto"/>
          <w:color w:val="231F20"/>
        </w:rPr>
        <w:t>Article X</w:t>
      </w:r>
      <w:r>
        <w:rPr>
          <w:rFonts w:ascii="Arial" w:cs="Arial" w:eastAsia="Arial" w:hAnsi="Arial"/>
          <w:sz w:val="17"/>
          <w:szCs w:val="17"/>
          <w:color w:val="231F20"/>
        </w:rPr>
        <w:t xml:space="preserve"> are set forth to regulate and define the conduct of certain affairs of the Corporation with respect to certain classes or categories of business opportunities as they may involve any Sponsor, Non-Employee Director or their respective Affiliates and the powers, rights, duties and liabilities of the Corporation and its directors, officers and stockholders in connection therewith.</w:t>
      </w:r>
    </w:p>
    <w:p>
      <w:pPr>
        <w:spacing w:after="0" w:line="184" w:lineRule="exact"/>
        <w:rPr>
          <w:rFonts w:ascii="Arial" w:cs="Arial" w:eastAsia="Arial" w:hAnsi="Arial"/>
          <w:sz w:val="17"/>
          <w:szCs w:val="17"/>
          <w:color w:val="231F20"/>
        </w:rPr>
      </w:pPr>
    </w:p>
    <w:p>
      <w:pPr>
        <w:ind w:right="40" w:firstLine="332"/>
        <w:spacing w:after="0" w:line="267" w:lineRule="auto"/>
        <w:tabs>
          <w:tab w:leader="none" w:pos="601"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Neither the (i) the Sponsor nor (ii) any Non-Employee Director (including any Non-Employee Director who serves as an officer of the Corporation in both his or her director and officer capacities) or his or her Affiliates (other than the Corporation, any of its subsidiaries or their respective officers or employees) (the Persons (as defined below) identified in (i) and (ii) above being referred to, collectively, as “</w:t>
      </w:r>
      <w:r>
        <w:rPr>
          <w:rFonts w:ascii="Arial" w:cs="Arial" w:eastAsia="Arial" w:hAnsi="Arial"/>
          <w:sz w:val="17"/>
          <w:szCs w:val="17"/>
          <w:u w:val="single" w:color="auto"/>
          <w:color w:val="231F20"/>
        </w:rPr>
        <w:t>Identified Persons</w:t>
      </w:r>
      <w:r>
        <w:rPr>
          <w:rFonts w:ascii="Arial" w:cs="Arial" w:eastAsia="Arial" w:hAnsi="Arial"/>
          <w:sz w:val="17"/>
          <w:szCs w:val="17"/>
          <w:color w:val="231F20"/>
        </w:rPr>
        <w:t>” and, individually, as an “</w:t>
      </w:r>
      <w:r>
        <w:rPr>
          <w:rFonts w:ascii="Arial" w:cs="Arial" w:eastAsia="Arial" w:hAnsi="Arial"/>
          <w:sz w:val="17"/>
          <w:szCs w:val="17"/>
          <w:u w:val="single" w:color="auto"/>
          <w:color w:val="231F20"/>
        </w:rPr>
        <w:t>Identified Person</w:t>
      </w:r>
      <w:r>
        <w:rPr>
          <w:rFonts w:ascii="Arial" w:cs="Arial" w:eastAsia="Arial" w:hAnsi="Arial"/>
          <w:sz w:val="17"/>
          <w:szCs w:val="17"/>
          <w:color w:val="231F20"/>
        </w:rPr>
        <w:t xml:space="preserve">”) shall, to the fullest extent permitted by law, have any fiduciary duty to refrain from directly or indirectly (A) engaging in and possessing interests in other business ventures of every type and description, including those engaged in the same or similar business activities or lines of business in which the Corporation or any of its subsidiaries now engages or proposes to engage or (B) competing with the Corporation or any of its subsidiaries, on its own account, or in partnership with, or as an employee, officer, director or shareholder of any other Person (other than the Corporation or any of its subsidiaries),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that may be a corporate opportunity for an Identified Person and the Corporation or any of its Affiliates, except as provided in Section C of </w:t>
      </w:r>
      <w:r>
        <w:rPr>
          <w:rFonts w:ascii="Arial" w:cs="Arial" w:eastAsia="Arial" w:hAnsi="Arial"/>
          <w:sz w:val="17"/>
          <w:szCs w:val="17"/>
          <w:u w:val="single" w:color="auto"/>
          <w:color w:val="231F20"/>
        </w:rPr>
        <w:t>Article X</w:t>
      </w:r>
      <w:r>
        <w:rPr>
          <w:rFonts w:ascii="Arial" w:cs="Arial" w:eastAsia="Arial" w:hAnsi="Arial"/>
          <w:sz w:val="17"/>
          <w:szCs w:val="17"/>
          <w:color w:val="231F20"/>
        </w:rPr>
        <w:t xml:space="preserve">. Subject to Section C of </w:t>
      </w:r>
      <w:r>
        <w:rPr>
          <w:rFonts w:ascii="Arial" w:cs="Arial" w:eastAsia="Arial" w:hAnsi="Arial"/>
          <w:sz w:val="17"/>
          <w:szCs w:val="17"/>
          <w:u w:val="single" w:color="auto"/>
          <w:color w:val="231F20"/>
        </w:rPr>
        <w:t>Article X</w:t>
      </w:r>
      <w:r>
        <w:rPr>
          <w:rFonts w:ascii="Arial" w:cs="Arial" w:eastAsia="Arial" w:hAnsi="Arial"/>
          <w:sz w:val="17"/>
          <w:szCs w:val="17"/>
          <w:color w:val="231F20"/>
        </w:rPr>
        <w:t>, in the event that any Identified Person acquires knowledge of a potential transaction or matter that may be a corporate or other business opportunity for itself, herself or himself, or any of its or his or her Affiliates, and the Corporation or any of its Affiliates, such Identified Person shall, to the fullest extent permitted by law, have no duty (fiduciary, contractual or otherwise) to communicate or present such transaction or matter to the Corporation or any of its subsidiaries, as the case may be and, to the fullest extent permitted by law, shall not be liable to the Corporation or its stockholders or to any subsidiary of the Corporation for breach of any duty (fiduciary, contractual or otherwise) as a stockholder or director of the Corporation by reason of the fact that such Identified Person, directly or indirectly, pursues or acquires such opportunity for itself, herself or himself, directs such opportunity to another Person or does not present such opportunity to the Corporation or any of its subsidiaries (or its Affiliates).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right="60" w:firstLine="332"/>
        <w:spacing w:after="0" w:line="286" w:lineRule="auto"/>
        <w:tabs>
          <w:tab w:leader="none" w:pos="598" w:val="left"/>
        </w:tabs>
        <w:numPr>
          <w:ilvl w:val="1"/>
          <w:numId w:val="29"/>
        </w:numPr>
        <w:rPr>
          <w:rFonts w:ascii="Arial" w:cs="Arial" w:eastAsia="Arial" w:hAnsi="Arial"/>
          <w:sz w:val="17"/>
          <w:szCs w:val="17"/>
          <w:color w:val="231F20"/>
        </w:rPr>
      </w:pPr>
      <w:r>
        <w:rPr>
          <w:rFonts w:ascii="Arial" w:cs="Arial" w:eastAsia="Arial" w:hAnsi="Arial"/>
          <w:sz w:val="17"/>
          <w:szCs w:val="17"/>
          <w:color w:val="231F20"/>
        </w:rPr>
        <w:t xml:space="preserve">The Corporation does not renounce its interest in any corporate opportunity offered to any Non- Employee Director (including any Non-Employee Director who serves as an officer of this Corporation) if such opportunity is expressly offered to such person solely in his or her capacity as a director or officer of the Corporation, and the provisions of Section (B) of this </w:t>
      </w:r>
      <w:r>
        <w:rPr>
          <w:rFonts w:ascii="Arial" w:cs="Arial" w:eastAsia="Arial" w:hAnsi="Arial"/>
          <w:sz w:val="17"/>
          <w:szCs w:val="17"/>
          <w:u w:val="single" w:color="auto"/>
          <w:color w:val="231F20"/>
        </w:rPr>
        <w:t>Article XI</w:t>
      </w:r>
      <w:r>
        <w:rPr>
          <w:rFonts w:ascii="Arial" w:cs="Arial" w:eastAsia="Arial" w:hAnsi="Arial"/>
          <w:sz w:val="17"/>
          <w:szCs w:val="17"/>
          <w:color w:val="231F20"/>
        </w:rPr>
        <w:t xml:space="preserve"> shall not apply to any such corporate opportunity.</w:t>
      </w:r>
    </w:p>
    <w:p>
      <w:pPr>
        <w:spacing w:after="0" w:line="165" w:lineRule="exact"/>
        <w:rPr>
          <w:rFonts w:ascii="Arial" w:cs="Arial" w:eastAsia="Arial" w:hAnsi="Arial"/>
          <w:sz w:val="17"/>
          <w:szCs w:val="17"/>
          <w:color w:val="231F20"/>
        </w:rPr>
      </w:pPr>
    </w:p>
    <w:p>
      <w:pPr>
        <w:ind w:right="100" w:firstLine="332"/>
        <w:spacing w:after="0" w:line="259" w:lineRule="auto"/>
        <w:tabs>
          <w:tab w:leader="none" w:pos="611" w:val="left"/>
        </w:tabs>
        <w:numPr>
          <w:ilvl w:val="1"/>
          <w:numId w:val="29"/>
        </w:numPr>
        <w:rPr>
          <w:rFonts w:ascii="Arial" w:cs="Arial" w:eastAsia="Arial" w:hAnsi="Arial"/>
          <w:sz w:val="18"/>
          <w:szCs w:val="18"/>
          <w:color w:val="231F20"/>
        </w:rPr>
      </w:pPr>
      <w:r>
        <w:rPr>
          <w:rFonts w:ascii="Arial" w:cs="Arial" w:eastAsia="Arial" w:hAnsi="Arial"/>
          <w:sz w:val="18"/>
          <w:szCs w:val="18"/>
          <w:color w:val="231F20"/>
        </w:rPr>
        <w:t xml:space="preserve">In addition to and notwithstanding the foregoing provisions of this </w:t>
      </w:r>
      <w:r>
        <w:rPr>
          <w:rFonts w:ascii="Arial" w:cs="Arial" w:eastAsia="Arial" w:hAnsi="Arial"/>
          <w:sz w:val="18"/>
          <w:szCs w:val="18"/>
          <w:u w:val="single" w:color="auto"/>
          <w:color w:val="231F20"/>
        </w:rPr>
        <w:t>Article X</w:t>
      </w:r>
      <w:r>
        <w:rPr>
          <w:rFonts w:ascii="Arial" w:cs="Arial" w:eastAsia="Arial" w:hAnsi="Arial"/>
          <w:sz w:val="18"/>
          <w:szCs w:val="18"/>
          <w:color w:val="231F20"/>
        </w:rPr>
        <w:t>, a corporate opportunity shall not be deemed to be a potential corporate opportunity for the Corporation if it is a business opportunity that (a) the Corporation is neither financially or legally able, nor contractually permitted to undertake, (b) from its nature, is not in the line of the Corporation’s business or is of no practical advantage to the Corporation or (c) is one in which the Corporation has no interest or reasonable expectancy.</w:t>
      </w:r>
    </w:p>
    <w:p>
      <w:pPr>
        <w:spacing w:after="0" w:line="186" w:lineRule="exact"/>
        <w:rPr>
          <w:rFonts w:ascii="Arial" w:cs="Arial" w:eastAsia="Arial" w:hAnsi="Arial"/>
          <w:sz w:val="18"/>
          <w:szCs w:val="18"/>
          <w:color w:val="231F20"/>
        </w:rPr>
      </w:pPr>
    </w:p>
    <w:p>
      <w:pPr>
        <w:ind w:firstLine="332"/>
        <w:spacing w:after="0" w:line="285" w:lineRule="auto"/>
        <w:tabs>
          <w:tab w:leader="none" w:pos="591" w:val="left"/>
        </w:tabs>
        <w:numPr>
          <w:ilvl w:val="1"/>
          <w:numId w:val="29"/>
        </w:numPr>
        <w:rPr>
          <w:rFonts w:ascii="Arial" w:cs="Arial" w:eastAsia="Arial" w:hAnsi="Arial"/>
          <w:sz w:val="16"/>
          <w:szCs w:val="16"/>
          <w:color w:val="231F20"/>
        </w:rPr>
      </w:pPr>
      <w:r>
        <w:rPr>
          <w:rFonts w:ascii="Arial" w:cs="Arial" w:eastAsia="Arial" w:hAnsi="Arial"/>
          <w:sz w:val="16"/>
          <w:szCs w:val="16"/>
          <w:color w:val="231F20"/>
        </w:rPr>
        <w:t xml:space="preserve">For purposes of this </w:t>
      </w:r>
      <w:r>
        <w:rPr>
          <w:rFonts w:ascii="Arial" w:cs="Arial" w:eastAsia="Arial" w:hAnsi="Arial"/>
          <w:sz w:val="16"/>
          <w:szCs w:val="16"/>
          <w:u w:val="single" w:color="auto"/>
          <w:color w:val="231F20"/>
        </w:rPr>
        <w:t>Article X</w:t>
      </w:r>
      <w:r>
        <w:rPr>
          <w:rFonts w:ascii="Arial" w:cs="Arial" w:eastAsia="Arial" w:hAnsi="Arial"/>
          <w:sz w:val="16"/>
          <w:szCs w:val="16"/>
          <w:color w:val="231F20"/>
        </w:rPr>
        <w:t>, (i) “</w:t>
      </w:r>
      <w:r>
        <w:rPr>
          <w:rFonts w:ascii="Arial" w:cs="Arial" w:eastAsia="Arial" w:hAnsi="Arial"/>
          <w:sz w:val="16"/>
          <w:szCs w:val="16"/>
          <w:u w:val="single" w:color="auto"/>
          <w:color w:val="231F20"/>
        </w:rPr>
        <w:t>Affiliate</w:t>
      </w:r>
      <w:r>
        <w:rPr>
          <w:rFonts w:ascii="Arial" w:cs="Arial" w:eastAsia="Arial" w:hAnsi="Arial"/>
          <w:sz w:val="16"/>
          <w:szCs w:val="16"/>
          <w:color w:val="231F20"/>
        </w:rPr>
        <w:t>” shall mean (a) in respect of the Sponsor, any Person that, directly or indirectly, is controlled by the Sponsor, controls Sponsor or is under common control with the Sponsor and shall include any principal, member, director, partner, stockholder, officer, employee or other representative of any of the foregoing (other than the Corporation and any entity that is controlled by the Corporation), (b) in respect of a Non- 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w:t>
      </w:r>
    </w:p>
    <w:p>
      <w:pPr>
        <w:spacing w:after="0" w:line="1" w:lineRule="exact"/>
        <w:rPr>
          <w:rFonts w:ascii="Arial" w:cs="Arial" w:eastAsia="Arial" w:hAnsi="Arial"/>
          <w:sz w:val="16"/>
          <w:szCs w:val="16"/>
          <w:color w:val="231F20"/>
        </w:rPr>
      </w:pPr>
    </w:p>
    <w:p>
      <w:pPr>
        <w:ind w:right="140" w:firstLine="8"/>
        <w:spacing w:after="0" w:line="260" w:lineRule="auto"/>
        <w:tabs>
          <w:tab w:leader="none" w:pos="26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u w:val="single" w:color="auto"/>
          <w:color w:val="231F20"/>
        </w:rPr>
        <w:t>Person</w:t>
      </w:r>
      <w:r>
        <w:rPr>
          <w:rFonts w:ascii="Arial" w:cs="Arial" w:eastAsia="Arial" w:hAnsi="Arial"/>
          <w:sz w:val="18"/>
          <w:szCs w:val="18"/>
          <w:color w:val="231F20"/>
        </w:rPr>
        <w:t>” shall mean any individual, corporation, general or limited partnership, limited liability company, joint venture, trust, association or any other entity.</w:t>
      </w:r>
    </w:p>
    <w:p>
      <w:pPr>
        <w:spacing w:after="0" w:line="18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231F20"/>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Arial" w:cs="Arial" w:eastAsia="Arial" w:hAnsi="Arial"/>
          <w:sz w:val="18"/>
          <w:szCs w:val="18"/>
          <w:u w:val="single" w:color="auto"/>
          <w:color w:val="231F20"/>
        </w:rPr>
        <w:t>Article X</w:t>
      </w:r>
      <w:r>
        <w:rPr>
          <w:rFonts w:ascii="Arial" w:cs="Arial" w:eastAsia="Arial" w:hAnsi="Arial"/>
          <w:sz w:val="18"/>
          <w:szCs w:val="18"/>
          <w:color w:val="231F20"/>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EXCLUSIVE FORUM</w:t>
      </w:r>
    </w:p>
    <w:p>
      <w:pPr>
        <w:spacing w:after="0" w:line="211" w:lineRule="exact"/>
        <w:rPr>
          <w:sz w:val="20"/>
          <w:szCs w:val="20"/>
          <w:color w:val="auto"/>
        </w:rPr>
      </w:pPr>
    </w:p>
    <w:p>
      <w:pPr>
        <w:ind w:right="160" w:firstLine="332"/>
        <w:spacing w:after="0" w:line="284" w:lineRule="auto"/>
        <w:tabs>
          <w:tab w:leader="none" w:pos="589" w:val="left"/>
        </w:tabs>
        <w:numPr>
          <w:ilvl w:val="1"/>
          <w:numId w:val="31"/>
        </w:numPr>
        <w:rPr>
          <w:rFonts w:ascii="Arial" w:cs="Arial" w:eastAsia="Arial" w:hAnsi="Arial"/>
          <w:sz w:val="16"/>
          <w:szCs w:val="16"/>
          <w:color w:val="231F20"/>
        </w:rPr>
      </w:pPr>
      <w:r>
        <w:rPr>
          <w:rFonts w:ascii="Arial" w:cs="Arial" w:eastAsia="Arial" w:hAnsi="Arial"/>
          <w:sz w:val="16"/>
          <w:szCs w:val="16"/>
          <w:color w:val="231F20"/>
        </w:rPr>
        <w:t>Unless the Corporation consents in writing to the selection of an alternative forum, the Court of Chancery (the “</w:t>
      </w:r>
      <w:r>
        <w:rPr>
          <w:rFonts w:ascii="Arial" w:cs="Arial" w:eastAsia="Arial" w:hAnsi="Arial"/>
          <w:sz w:val="16"/>
          <w:szCs w:val="16"/>
          <w:u w:val="single" w:color="auto"/>
          <w:color w:val="231F20"/>
        </w:rPr>
        <w:t>Chancery Court</w:t>
      </w:r>
      <w:r>
        <w:rPr>
          <w:rFonts w:ascii="Arial" w:cs="Arial" w:eastAsia="Arial" w:hAnsi="Arial"/>
          <w:sz w:val="16"/>
          <w:szCs w:val="16"/>
          <w:color w:val="231F20"/>
        </w:rPr>
        <w:t>”) of the State of Delaware (or, in the event that the Chancery Court does not have jurisdiction, the federal district court for the District of Delaware or other state courts of the State of Delaware) and any appellate court thereof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Third A&amp;R Certificate of Incorporation (as either may be amended from time to time),</w:t>
      </w:r>
    </w:p>
    <w:p>
      <w:pPr>
        <w:spacing w:after="0" w:line="4" w:lineRule="exact"/>
        <w:rPr>
          <w:rFonts w:ascii="Arial" w:cs="Arial" w:eastAsia="Arial" w:hAnsi="Arial"/>
          <w:sz w:val="16"/>
          <w:szCs w:val="16"/>
          <w:color w:val="231F20"/>
        </w:rPr>
      </w:pPr>
    </w:p>
    <w:p>
      <w:pPr>
        <w:ind w:right="20" w:firstLine="8"/>
        <w:spacing w:after="0" w:line="268" w:lineRule="auto"/>
        <w:tabs>
          <w:tab w:leader="none" w:pos="305"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any action, suit or proceeding as to which the DGCL confers jurisdiction on the Court of Chancery of the State of Delaware, or (v) any action, suit or proceeding asserting a claim against the Corporation or any current or former director, officer or stockholder governed by the internal affairs doctrine. If any action the subject matter of which is within the scope of the immediately preceding sentence is filed in a court other than the courts in the State of Delaware (a “</w:t>
      </w:r>
      <w:r>
        <w:rPr>
          <w:rFonts w:ascii="Arial" w:cs="Arial" w:eastAsia="Arial" w:hAnsi="Arial"/>
          <w:sz w:val="17"/>
          <w:szCs w:val="17"/>
          <w:u w:val="single" w:color="auto"/>
          <w:color w:val="231F20"/>
        </w:rPr>
        <w:t>Foreign Action</w:t>
      </w:r>
      <w:r>
        <w:rPr>
          <w:rFonts w:ascii="Arial" w:cs="Arial" w:eastAsia="Arial" w:hAnsi="Arial"/>
          <w:sz w:val="17"/>
          <w:szCs w:val="17"/>
          <w:color w:val="231F20"/>
        </w:rPr>
        <w:t xml:space="preserve">”) in the name of any stockholder, such stockholder shall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Notwithstanding the foregoing, the provisions of this </w:t>
      </w:r>
      <w:r>
        <w:rPr>
          <w:rFonts w:ascii="Arial" w:cs="Arial" w:eastAsia="Arial" w:hAnsi="Arial"/>
          <w:sz w:val="17"/>
          <w:szCs w:val="17"/>
          <w:u w:val="single" w:color="auto"/>
          <w:color w:val="231F20"/>
        </w:rPr>
        <w:t>Article XI</w:t>
      </w:r>
      <w:r>
        <w:rPr>
          <w:rFonts w:ascii="Arial" w:cs="Arial" w:eastAsia="Arial" w:hAnsi="Arial"/>
          <w:sz w:val="17"/>
          <w:szCs w:val="17"/>
          <w:color w:val="231F20"/>
        </w:rPr>
        <w:t>(A) shall not apply to suits brought to enforce any liability or duty created by the Securities Act of 1933, as amended (the “</w:t>
      </w:r>
      <w:r>
        <w:rPr>
          <w:rFonts w:ascii="Arial" w:cs="Arial" w:eastAsia="Arial" w:hAnsi="Arial"/>
          <w:sz w:val="17"/>
          <w:szCs w:val="17"/>
          <w:u w:val="single" w:color="auto"/>
          <w:color w:val="231F20"/>
        </w:rPr>
        <w:t>Securities Act</w:t>
      </w:r>
      <w:r>
        <w:rPr>
          <w:rFonts w:ascii="Arial" w:cs="Arial" w:eastAsia="Arial" w:hAnsi="Arial"/>
          <w:sz w:val="17"/>
          <w:szCs w:val="17"/>
          <w:color w:val="231F20"/>
        </w:rPr>
        <w:t>”), the Exchange Act or any other claim for which the federal courts of the United States have exclusive jurisdiction.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left="-40" w:firstLine="332"/>
        <w:spacing w:after="0" w:line="342" w:lineRule="auto"/>
        <w:tabs>
          <w:tab w:leader="none" w:pos="561"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23" w:lineRule="exact"/>
        <w:rPr>
          <w:rFonts w:ascii="Arial" w:cs="Arial" w:eastAsia="Arial" w:hAnsi="Arial"/>
          <w:sz w:val="16"/>
          <w:szCs w:val="16"/>
          <w:color w:val="231F20"/>
        </w:rPr>
      </w:pPr>
    </w:p>
    <w:p>
      <w:pPr>
        <w:ind w:left="-40" w:right="500" w:firstLine="332"/>
        <w:spacing w:after="0" w:line="277" w:lineRule="auto"/>
        <w:tabs>
          <w:tab w:leader="none" w:pos="552"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 xml:space="preserve">Any person or entity purchasing or otherwise acquiring any interest in any security of the Corporation shall be deemed to have notice of and consented to this </w:t>
      </w:r>
      <w:r>
        <w:rPr>
          <w:rFonts w:ascii="Arial" w:cs="Arial" w:eastAsia="Arial" w:hAnsi="Arial"/>
          <w:sz w:val="18"/>
          <w:szCs w:val="18"/>
          <w:u w:val="single" w:color="auto"/>
          <w:color w:val="231F20"/>
        </w:rPr>
        <w:t>Article XI</w:t>
      </w:r>
      <w:r>
        <w:rPr>
          <w:rFonts w:ascii="Arial" w:cs="Arial" w:eastAsia="Arial" w:hAnsi="Arial"/>
          <w:sz w:val="18"/>
          <w:szCs w:val="18"/>
          <w:color w:val="231F20"/>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XII MISCELLANEOUS</w:t>
      </w:r>
    </w:p>
    <w:p>
      <w:pPr>
        <w:spacing w:after="0" w:line="229" w:lineRule="exact"/>
        <w:rPr>
          <w:sz w:val="20"/>
          <w:szCs w:val="20"/>
          <w:color w:val="auto"/>
        </w:rPr>
      </w:pPr>
    </w:p>
    <w:p>
      <w:pPr>
        <w:ind w:left="-40" w:right="60" w:firstLine="332"/>
        <w:spacing w:after="0" w:line="273" w:lineRule="auto"/>
        <w:tabs>
          <w:tab w:leader="none" w:pos="551" w:val="left"/>
        </w:tabs>
        <w:numPr>
          <w:ilvl w:val="0"/>
          <w:numId w:val="34"/>
        </w:numPr>
        <w:rPr>
          <w:rFonts w:ascii="Arial" w:cs="Arial" w:eastAsia="Arial" w:hAnsi="Arial"/>
          <w:sz w:val="17"/>
          <w:szCs w:val="17"/>
          <w:i w:val="1"/>
          <w:iCs w:val="1"/>
          <w:color w:val="231F20"/>
        </w:rPr>
      </w:pPr>
      <w:r>
        <w:rPr>
          <w:rFonts w:ascii="Arial" w:cs="Arial" w:eastAsia="Arial" w:hAnsi="Arial"/>
          <w:sz w:val="17"/>
          <w:szCs w:val="17"/>
          <w:color w:val="231F20"/>
        </w:rPr>
        <w:t xml:space="preserve">Notwithstanding anything contained in this Third A&amp;R Certificate of Incorporation to the contrary, in addition to any vote required by applicable law, the following provisions in this Third A&amp;R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Article V(B) </w:t>
      </w:r>
      <w:r>
        <w:rPr>
          <w:rFonts w:ascii="Arial" w:cs="Arial" w:eastAsia="Arial" w:hAnsi="Arial"/>
          <w:sz w:val="17"/>
          <w:szCs w:val="17"/>
          <w:i w:val="1"/>
          <w:iCs w:val="1"/>
          <w:color w:val="231F20"/>
        </w:rPr>
        <w:t>Preferred Stock</w:t>
      </w:r>
      <w:r>
        <w:rPr>
          <w:rFonts w:ascii="Arial" w:cs="Arial" w:eastAsia="Arial" w:hAnsi="Arial"/>
          <w:sz w:val="17"/>
          <w:szCs w:val="17"/>
          <w:color w:val="231F20"/>
        </w:rPr>
        <w:t xml:space="preserve">, Article VI </w:t>
      </w:r>
      <w:r>
        <w:rPr>
          <w:rFonts w:ascii="Arial" w:cs="Arial" w:eastAsia="Arial" w:hAnsi="Arial"/>
          <w:sz w:val="17"/>
          <w:szCs w:val="17"/>
          <w:i w:val="1"/>
          <w:iCs w:val="1"/>
          <w:color w:val="231F20"/>
        </w:rPr>
        <w:t xml:space="preserve">Board of </w:t>
      </w:r>
      <w:r>
        <w:rPr>
          <w:rFonts w:ascii="Arial" w:cs="Arial" w:eastAsia="Arial" w:hAnsi="Arial"/>
          <w:sz w:val="17"/>
          <w:szCs w:val="17"/>
          <w:color w:val="231F20"/>
        </w:rPr>
        <w:t>Directors, Article VII</w:t>
      </w:r>
      <w:r>
        <w:rPr>
          <w:rFonts w:ascii="Arial" w:cs="Arial" w:eastAsia="Arial" w:hAnsi="Arial"/>
          <w:sz w:val="17"/>
          <w:szCs w:val="17"/>
          <w:i w:val="1"/>
          <w:iCs w:val="1"/>
          <w:color w:val="231F20"/>
        </w:rPr>
        <w:t xml:space="preserve"> Meetings of Stockholders; Action by Written Consent</w:t>
      </w:r>
      <w:r>
        <w:rPr>
          <w:rFonts w:ascii="Arial" w:cs="Arial" w:eastAsia="Arial" w:hAnsi="Arial"/>
          <w:sz w:val="17"/>
          <w:szCs w:val="17"/>
          <w:color w:val="231F20"/>
        </w:rPr>
        <w:t>, Article VIII</w:t>
      </w:r>
      <w:r>
        <w:rPr>
          <w:rFonts w:ascii="Arial" w:cs="Arial" w:eastAsia="Arial" w:hAnsi="Arial"/>
          <w:sz w:val="17"/>
          <w:szCs w:val="17"/>
          <w:i w:val="1"/>
          <w:iCs w:val="1"/>
          <w:color w:val="231F20"/>
        </w:rPr>
        <w:t xml:space="preserve"> Limitation of Director Liability</w:t>
      </w:r>
      <w:r>
        <w:rPr>
          <w:rFonts w:ascii="Arial" w:cs="Arial" w:eastAsia="Arial" w:hAnsi="Arial"/>
          <w:sz w:val="17"/>
          <w:szCs w:val="17"/>
          <w:color w:val="231F20"/>
        </w:rPr>
        <w:t>, Article IX</w:t>
      </w:r>
      <w:r>
        <w:rPr>
          <w:rFonts w:ascii="Arial" w:cs="Arial" w:eastAsia="Arial" w:hAnsi="Arial"/>
          <w:sz w:val="17"/>
          <w:szCs w:val="17"/>
          <w:i w:val="1"/>
          <w:iCs w:val="1"/>
          <w:color w:val="231F20"/>
        </w:rPr>
        <w:t xml:space="preserve"> Indemnification</w:t>
      </w:r>
      <w:r>
        <w:rPr>
          <w:rFonts w:ascii="Arial" w:cs="Arial" w:eastAsia="Arial" w:hAnsi="Arial"/>
          <w:sz w:val="17"/>
          <w:szCs w:val="17"/>
          <w:color w:val="231F20"/>
        </w:rPr>
        <w:t>, Article X</w:t>
      </w:r>
      <w:r>
        <w:rPr>
          <w:rFonts w:ascii="Arial" w:cs="Arial" w:eastAsia="Arial" w:hAnsi="Arial"/>
          <w:sz w:val="17"/>
          <w:szCs w:val="17"/>
          <w:i w:val="1"/>
          <w:iCs w:val="1"/>
          <w:color w:val="231F20"/>
        </w:rPr>
        <w:t xml:space="preserve"> Competition and Corporate Opportunities</w:t>
      </w:r>
      <w:r>
        <w:rPr>
          <w:rFonts w:ascii="Arial" w:cs="Arial" w:eastAsia="Arial" w:hAnsi="Arial"/>
          <w:sz w:val="17"/>
          <w:szCs w:val="17"/>
          <w:color w:val="231F20"/>
        </w:rPr>
        <w:t>, Article XI Exclusive</w:t>
      </w:r>
      <w:r>
        <w:rPr>
          <w:rFonts w:ascii="Arial" w:cs="Arial" w:eastAsia="Arial" w:hAnsi="Arial"/>
          <w:sz w:val="17"/>
          <w:szCs w:val="17"/>
          <w:i w:val="1"/>
          <w:iCs w:val="1"/>
          <w:color w:val="231F20"/>
        </w:rPr>
        <w:t xml:space="preserve"> Forum </w:t>
      </w:r>
      <w:r>
        <w:rPr>
          <w:rFonts w:ascii="Arial" w:cs="Arial" w:eastAsia="Arial" w:hAnsi="Arial"/>
          <w:sz w:val="17"/>
          <w:szCs w:val="17"/>
          <w:color w:val="231F20"/>
        </w:rPr>
        <w:t>and this Article XII</w:t>
      </w:r>
      <w:r>
        <w:rPr>
          <w:rFonts w:ascii="Arial" w:cs="Arial" w:eastAsia="Arial" w:hAnsi="Arial"/>
          <w:sz w:val="17"/>
          <w:szCs w:val="17"/>
          <w:i w:val="1"/>
          <w:iCs w:val="1"/>
          <w:color w:val="231F20"/>
        </w:rPr>
        <w:t xml:space="preserve"> Miscellaneous</w:t>
      </w:r>
      <w:r>
        <w:rPr>
          <w:rFonts w:ascii="Arial" w:cs="Arial" w:eastAsia="Arial" w:hAnsi="Arial"/>
          <w:sz w:val="17"/>
          <w:szCs w:val="17"/>
          <w:color w:val="231F20"/>
        </w:rPr>
        <w:t>.</w:t>
      </w:r>
    </w:p>
    <w:p>
      <w:pPr>
        <w:spacing w:after="0" w:line="177" w:lineRule="exact"/>
        <w:rPr>
          <w:rFonts w:ascii="Arial" w:cs="Arial" w:eastAsia="Arial" w:hAnsi="Arial"/>
          <w:sz w:val="17"/>
          <w:szCs w:val="17"/>
          <w:i w:val="1"/>
          <w:iCs w:val="1"/>
          <w:color w:val="231F20"/>
        </w:rPr>
      </w:pPr>
    </w:p>
    <w:p>
      <w:pPr>
        <w:ind w:left="-40" w:right="40" w:firstLine="332"/>
        <w:spacing w:after="0" w:line="270" w:lineRule="auto"/>
        <w:tabs>
          <w:tab w:leader="none" w:pos="561" w:val="left"/>
        </w:tabs>
        <w:numPr>
          <w:ilvl w:val="0"/>
          <w:numId w:val="34"/>
        </w:numPr>
        <w:rPr>
          <w:rFonts w:ascii="Arial" w:cs="Arial" w:eastAsia="Arial" w:hAnsi="Arial"/>
          <w:sz w:val="17"/>
          <w:szCs w:val="17"/>
          <w:color w:val="231F20"/>
        </w:rPr>
      </w:pPr>
      <w:r>
        <w:rPr>
          <w:rFonts w:ascii="Arial" w:cs="Arial" w:eastAsia="Arial" w:hAnsi="Arial"/>
          <w:sz w:val="17"/>
          <w:szCs w:val="17"/>
          <w:color w:val="231F20"/>
        </w:rPr>
        <w:t>If any provision or provisions of this Third A&amp;R Certificate of Incorporation shall be held to be invalid, illegal or unenforceable as applied to any circumstance for any reason whatsoever: (i) the validity, legality and enforceability of such provisions in any other circumstance and of the remaining provisions of this Third A&amp;R Certificate of Incorporation (including, without limitation, each portion of any paragraph of this Third A&amp;R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Third A&amp;R Certificate of Incorporation (including, without limitation, each such portion of any paragraph of this Third A&amp;R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42" w:name="page43"/>
    <w:bookmarkEnd w:id="42"/>
    <w:p>
      <w:pPr>
        <w:ind w:firstLine="324"/>
        <w:spacing w:after="0" w:line="277" w:lineRule="auto"/>
        <w:rPr>
          <w:sz w:val="20"/>
          <w:szCs w:val="20"/>
          <w:color w:val="auto"/>
        </w:rPr>
      </w:pPr>
      <w:r>
        <w:rPr>
          <w:rFonts w:ascii="Arial" w:cs="Arial" w:eastAsia="Arial" w:hAnsi="Arial"/>
          <w:sz w:val="18"/>
          <w:szCs w:val="18"/>
          <w:color w:val="231F20"/>
        </w:rPr>
        <w:t>IN WITNESS WHEREOF, the Corporation has caused this Third A&amp;R Certificate of Incorporation to be executed by its duly authorized officer as this 12th day of November, 2021.</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231F20"/>
        </w:rPr>
        <w:t>DFP HEALTHCARE ACQUISITIONS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231F20"/>
        </w:rPr>
        <w:t>By: /s/ Christopher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231F20"/>
        </w:rPr>
        <w:t>Name: Christopher Wolfe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231F20"/>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3.2</w:t>
      </w:r>
    </w:p>
    <w:p>
      <w:pPr>
        <w:spacing w:after="0" w:line="216"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Amended &amp; Restated</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Bylaws of</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Oncology Institute, Inc.</w:t>
      </w:r>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48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580" w:type="dxa"/>
            <w:vAlign w:val="bottom"/>
            <w:gridSpan w:val="2"/>
            <w:vMerge w:val="restart"/>
          </w:tcPr>
          <w:p>
            <w:pPr>
              <w:spacing w:after="0"/>
              <w:rPr>
                <w:sz w:val="20"/>
                <w:szCs w:val="20"/>
                <w:color w:val="auto"/>
              </w:rPr>
            </w:pPr>
            <w:r>
              <w:rPr>
                <w:rFonts w:ascii="Arial" w:cs="Arial" w:eastAsia="Arial" w:hAnsi="Arial"/>
                <w:sz w:val="18"/>
                <w:szCs w:val="18"/>
                <w:color w:val="auto"/>
              </w:rPr>
              <w:t>Article I — Corporate Offices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10580" w:type="dxa"/>
            <w:vAlign w:val="bottom"/>
            <w:gridSpan w:val="2"/>
            <w:vMerge w:val="continue"/>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C-3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1.1</w:t>
            </w:r>
          </w:p>
        </w:tc>
        <w:tc>
          <w:tcPr>
            <w:tcW w:w="9480" w:type="dxa"/>
            <w:vAlign w:val="bottom"/>
          </w:tcPr>
          <w:p>
            <w:pPr>
              <w:ind w:left="260"/>
              <w:spacing w:after="0"/>
              <w:rPr>
                <w:sz w:val="20"/>
                <w:szCs w:val="20"/>
                <w:color w:val="auto"/>
              </w:rPr>
            </w:pPr>
            <w:r>
              <w:rPr>
                <w:rFonts w:ascii="Arial" w:cs="Arial" w:eastAsia="Arial" w:hAnsi="Arial"/>
                <w:sz w:val="18"/>
                <w:szCs w:val="18"/>
                <w:color w:val="auto"/>
              </w:rPr>
              <w:t>Registered Office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1.2</w:t>
            </w:r>
          </w:p>
        </w:tc>
        <w:tc>
          <w:tcPr>
            <w:tcW w:w="9480" w:type="dxa"/>
            <w:vAlign w:val="bottom"/>
          </w:tcPr>
          <w:p>
            <w:pPr>
              <w:ind w:left="260"/>
              <w:spacing w:after="0"/>
              <w:rPr>
                <w:sz w:val="20"/>
                <w:szCs w:val="20"/>
                <w:color w:val="auto"/>
              </w:rPr>
            </w:pPr>
            <w:r>
              <w:rPr>
                <w:rFonts w:ascii="Arial" w:cs="Arial" w:eastAsia="Arial" w:hAnsi="Arial"/>
                <w:sz w:val="18"/>
                <w:szCs w:val="18"/>
                <w:color w:val="auto"/>
              </w:rPr>
              <w:t>Other Offices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2.1</w:t>
            </w:r>
          </w:p>
        </w:tc>
        <w:tc>
          <w:tcPr>
            <w:tcW w:w="9480" w:type="dxa"/>
            <w:vAlign w:val="bottom"/>
          </w:tcPr>
          <w:p>
            <w:pPr>
              <w:ind w:left="260"/>
              <w:spacing w:after="0"/>
              <w:rPr>
                <w:sz w:val="20"/>
                <w:szCs w:val="20"/>
                <w:color w:val="auto"/>
              </w:rPr>
            </w:pPr>
            <w:r>
              <w:rPr>
                <w:rFonts w:ascii="Arial" w:cs="Arial" w:eastAsia="Arial" w:hAnsi="Arial"/>
                <w:sz w:val="18"/>
                <w:szCs w:val="18"/>
                <w:color w:val="auto"/>
              </w:rPr>
              <w:t>Place of Meetings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2.2</w:t>
            </w:r>
          </w:p>
        </w:tc>
        <w:tc>
          <w:tcPr>
            <w:tcW w:w="9480" w:type="dxa"/>
            <w:vAlign w:val="bottom"/>
          </w:tcPr>
          <w:p>
            <w:pPr>
              <w:ind w:left="260"/>
              <w:spacing w:after="0"/>
              <w:rPr>
                <w:sz w:val="20"/>
                <w:szCs w:val="20"/>
                <w:color w:val="auto"/>
              </w:rPr>
            </w:pPr>
            <w:r>
              <w:rPr>
                <w:rFonts w:ascii="Arial" w:cs="Arial" w:eastAsia="Arial" w:hAnsi="Arial"/>
                <w:sz w:val="18"/>
                <w:szCs w:val="18"/>
                <w:color w:val="auto"/>
              </w:rPr>
              <w:t>Annual Meeting</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2.3</w:t>
            </w:r>
          </w:p>
        </w:tc>
        <w:tc>
          <w:tcPr>
            <w:tcW w:w="9480" w:type="dxa"/>
            <w:vAlign w:val="bottom"/>
          </w:tcPr>
          <w:p>
            <w:pPr>
              <w:ind w:left="260"/>
              <w:spacing w:after="0"/>
              <w:rPr>
                <w:sz w:val="20"/>
                <w:szCs w:val="20"/>
                <w:color w:val="auto"/>
              </w:rPr>
            </w:pPr>
            <w:r>
              <w:rPr>
                <w:rFonts w:ascii="Arial" w:cs="Arial" w:eastAsia="Arial" w:hAnsi="Arial"/>
                <w:sz w:val="18"/>
                <w:szCs w:val="18"/>
                <w:color w:val="auto"/>
              </w:rPr>
              <w:t>Special Meeting</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2.4</w:t>
            </w:r>
          </w:p>
        </w:tc>
        <w:tc>
          <w:tcPr>
            <w:tcW w:w="9480" w:type="dxa"/>
            <w:vAlign w:val="bottom"/>
          </w:tcPr>
          <w:p>
            <w:pPr>
              <w:ind w:left="260"/>
              <w:spacing w:after="0"/>
              <w:rPr>
                <w:sz w:val="20"/>
                <w:szCs w:val="20"/>
                <w:color w:val="auto"/>
              </w:rPr>
            </w:pPr>
            <w:r>
              <w:rPr>
                <w:rFonts w:ascii="Arial" w:cs="Arial" w:eastAsia="Arial" w:hAnsi="Arial"/>
                <w:sz w:val="18"/>
                <w:szCs w:val="18"/>
                <w:color w:val="auto"/>
              </w:rPr>
              <w:t>Notice of Business to be Brought before a Meeting</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2.5</w:t>
            </w:r>
          </w:p>
        </w:tc>
        <w:tc>
          <w:tcPr>
            <w:tcW w:w="9480" w:type="dxa"/>
            <w:vAlign w:val="bottom"/>
          </w:tcPr>
          <w:p>
            <w:pPr>
              <w:ind w:left="260"/>
              <w:spacing w:after="0"/>
              <w:rPr>
                <w:sz w:val="20"/>
                <w:szCs w:val="20"/>
                <w:color w:val="auto"/>
              </w:rPr>
            </w:pPr>
            <w:r>
              <w:rPr>
                <w:rFonts w:ascii="Arial" w:cs="Arial" w:eastAsia="Arial" w:hAnsi="Arial"/>
                <w:sz w:val="18"/>
                <w:szCs w:val="18"/>
                <w:color w:val="auto"/>
              </w:rPr>
              <w:t>Notice of Nominations for Election to the Board of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2.6</w:t>
            </w:r>
          </w:p>
        </w:tc>
        <w:tc>
          <w:tcPr>
            <w:tcW w:w="9480" w:type="dxa"/>
            <w:vAlign w:val="bottom"/>
          </w:tcPr>
          <w:p>
            <w:pPr>
              <w:ind w:left="260"/>
              <w:spacing w:after="0"/>
              <w:rPr>
                <w:sz w:val="20"/>
                <w:szCs w:val="20"/>
                <w:color w:val="auto"/>
              </w:rPr>
            </w:pPr>
            <w:r>
              <w:rPr>
                <w:rFonts w:ascii="Arial" w:cs="Arial" w:eastAsia="Arial" w:hAnsi="Arial"/>
                <w:sz w:val="18"/>
                <w:szCs w:val="18"/>
                <w:color w:val="auto"/>
                <w:w w:val="94"/>
              </w:rPr>
              <w:t>Additional Requirements for Valid Nomination of Candidates to Serve as Director and, if Elected, to be Seated as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2.7</w:t>
            </w:r>
          </w:p>
        </w:tc>
        <w:tc>
          <w:tcPr>
            <w:tcW w:w="9480" w:type="dxa"/>
            <w:vAlign w:val="bottom"/>
          </w:tcPr>
          <w:p>
            <w:pPr>
              <w:ind w:left="260"/>
              <w:spacing w:after="0"/>
              <w:rPr>
                <w:sz w:val="20"/>
                <w:szCs w:val="20"/>
                <w:color w:val="auto"/>
              </w:rPr>
            </w:pPr>
            <w:r>
              <w:rPr>
                <w:rFonts w:ascii="Arial" w:cs="Arial" w:eastAsia="Arial" w:hAnsi="Arial"/>
                <w:sz w:val="18"/>
                <w:szCs w:val="18"/>
                <w:color w:val="auto"/>
              </w:rPr>
              <w:t>Notice of Stockholders’ Meetings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2.8</w:t>
            </w:r>
          </w:p>
        </w:tc>
        <w:tc>
          <w:tcPr>
            <w:tcW w:w="9480" w:type="dxa"/>
            <w:vAlign w:val="bottom"/>
          </w:tcPr>
          <w:p>
            <w:pPr>
              <w:ind w:left="260"/>
              <w:spacing w:after="0"/>
              <w:rPr>
                <w:sz w:val="20"/>
                <w:szCs w:val="20"/>
                <w:color w:val="auto"/>
              </w:rPr>
            </w:pPr>
            <w:r>
              <w:rPr>
                <w:rFonts w:ascii="Arial" w:cs="Arial" w:eastAsia="Arial" w:hAnsi="Arial"/>
                <w:sz w:val="18"/>
                <w:szCs w:val="18"/>
                <w:color w:val="auto"/>
              </w:rPr>
              <w:t>Quorum</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C-10</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2.9</w:t>
            </w:r>
          </w:p>
        </w:tc>
        <w:tc>
          <w:tcPr>
            <w:tcW w:w="9480" w:type="dxa"/>
            <w:vAlign w:val="bottom"/>
          </w:tcPr>
          <w:p>
            <w:pPr>
              <w:ind w:left="260"/>
              <w:spacing w:after="0"/>
              <w:rPr>
                <w:sz w:val="20"/>
                <w:szCs w:val="20"/>
                <w:color w:val="auto"/>
              </w:rPr>
            </w:pPr>
            <w:r>
              <w:rPr>
                <w:rFonts w:ascii="Arial" w:cs="Arial" w:eastAsia="Arial" w:hAnsi="Arial"/>
                <w:sz w:val="18"/>
                <w:szCs w:val="18"/>
                <w:color w:val="auto"/>
              </w:rPr>
              <w:t>Adjourned Meeting; Notice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C-10</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2.10</w:t>
            </w:r>
          </w:p>
        </w:tc>
        <w:tc>
          <w:tcPr>
            <w:tcW w:w="9480" w:type="dxa"/>
            <w:vAlign w:val="bottom"/>
          </w:tcPr>
          <w:p>
            <w:pPr>
              <w:ind w:left="260"/>
              <w:spacing w:after="0"/>
              <w:rPr>
                <w:sz w:val="20"/>
                <w:szCs w:val="20"/>
                <w:color w:val="auto"/>
              </w:rPr>
            </w:pPr>
            <w:r>
              <w:rPr>
                <w:rFonts w:ascii="Arial" w:cs="Arial" w:eastAsia="Arial" w:hAnsi="Arial"/>
                <w:sz w:val="18"/>
                <w:szCs w:val="18"/>
                <w:color w:val="auto"/>
              </w:rPr>
              <w:t>Conduct of Business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C-10</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2.11</w:t>
            </w:r>
          </w:p>
        </w:tc>
        <w:tc>
          <w:tcPr>
            <w:tcW w:w="9480" w:type="dxa"/>
            <w:vAlign w:val="bottom"/>
          </w:tcPr>
          <w:p>
            <w:pPr>
              <w:ind w:left="260"/>
              <w:spacing w:after="0"/>
              <w:rPr>
                <w:sz w:val="20"/>
                <w:szCs w:val="20"/>
                <w:color w:val="auto"/>
              </w:rPr>
            </w:pPr>
            <w:r>
              <w:rPr>
                <w:rFonts w:ascii="Arial" w:cs="Arial" w:eastAsia="Arial" w:hAnsi="Arial"/>
                <w:sz w:val="18"/>
                <w:szCs w:val="18"/>
                <w:color w:val="auto"/>
              </w:rPr>
              <w:t>Voting</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C-11</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2.12</w:t>
            </w:r>
          </w:p>
        </w:tc>
        <w:tc>
          <w:tcPr>
            <w:tcW w:w="9480" w:type="dxa"/>
            <w:vAlign w:val="bottom"/>
          </w:tcPr>
          <w:p>
            <w:pPr>
              <w:ind w:left="260"/>
              <w:spacing w:after="0"/>
              <w:rPr>
                <w:sz w:val="20"/>
                <w:szCs w:val="20"/>
                <w:color w:val="auto"/>
              </w:rPr>
            </w:pPr>
            <w:r>
              <w:rPr>
                <w:rFonts w:ascii="Arial" w:cs="Arial" w:eastAsia="Arial" w:hAnsi="Arial"/>
                <w:sz w:val="18"/>
                <w:szCs w:val="18"/>
                <w:color w:val="auto"/>
              </w:rPr>
              <w:t>Record Date for Stockholder Meetings and Other Purposes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C-11</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2.13</w:t>
            </w:r>
          </w:p>
        </w:tc>
        <w:tc>
          <w:tcPr>
            <w:tcW w:w="9480" w:type="dxa"/>
            <w:vAlign w:val="bottom"/>
          </w:tcPr>
          <w:p>
            <w:pPr>
              <w:ind w:left="260"/>
              <w:spacing w:after="0"/>
              <w:rPr>
                <w:sz w:val="20"/>
                <w:szCs w:val="20"/>
                <w:color w:val="auto"/>
              </w:rPr>
            </w:pPr>
            <w:r>
              <w:rPr>
                <w:rFonts w:ascii="Arial" w:cs="Arial" w:eastAsia="Arial" w:hAnsi="Arial"/>
                <w:sz w:val="18"/>
                <w:szCs w:val="18"/>
                <w:color w:val="auto"/>
              </w:rPr>
              <w:t>Proxies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2.14</w:t>
            </w:r>
          </w:p>
        </w:tc>
        <w:tc>
          <w:tcPr>
            <w:tcW w:w="9480" w:type="dxa"/>
            <w:vAlign w:val="bottom"/>
          </w:tcPr>
          <w:p>
            <w:pPr>
              <w:ind w:left="260"/>
              <w:spacing w:after="0"/>
              <w:rPr>
                <w:sz w:val="20"/>
                <w:szCs w:val="20"/>
                <w:color w:val="auto"/>
              </w:rPr>
            </w:pPr>
            <w:r>
              <w:rPr>
                <w:rFonts w:ascii="Arial" w:cs="Arial" w:eastAsia="Arial" w:hAnsi="Arial"/>
                <w:sz w:val="18"/>
                <w:szCs w:val="18"/>
                <w:color w:val="auto"/>
              </w:rPr>
              <w:t>List of Stockholders Entitled to Vote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2.15</w:t>
            </w:r>
          </w:p>
        </w:tc>
        <w:tc>
          <w:tcPr>
            <w:tcW w:w="9480" w:type="dxa"/>
            <w:vAlign w:val="bottom"/>
          </w:tcPr>
          <w:p>
            <w:pPr>
              <w:ind w:left="260"/>
              <w:spacing w:after="0"/>
              <w:rPr>
                <w:sz w:val="20"/>
                <w:szCs w:val="20"/>
                <w:color w:val="auto"/>
              </w:rPr>
            </w:pPr>
            <w:r>
              <w:rPr>
                <w:rFonts w:ascii="Arial" w:cs="Arial" w:eastAsia="Arial" w:hAnsi="Arial"/>
                <w:sz w:val="18"/>
                <w:szCs w:val="18"/>
                <w:color w:val="auto"/>
              </w:rPr>
              <w:t>Inspectors of Election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2.16</w:t>
            </w:r>
          </w:p>
        </w:tc>
        <w:tc>
          <w:tcPr>
            <w:tcW w:w="9480" w:type="dxa"/>
            <w:vAlign w:val="bottom"/>
          </w:tcPr>
          <w:p>
            <w:pPr>
              <w:ind w:left="260"/>
              <w:spacing w:after="0"/>
              <w:rPr>
                <w:sz w:val="20"/>
                <w:szCs w:val="20"/>
                <w:color w:val="auto"/>
              </w:rPr>
            </w:pPr>
            <w:r>
              <w:rPr>
                <w:rFonts w:ascii="Arial" w:cs="Arial" w:eastAsia="Arial" w:hAnsi="Arial"/>
                <w:sz w:val="18"/>
                <w:szCs w:val="18"/>
                <w:color w:val="auto"/>
              </w:rPr>
              <w:t>Delivery to the Corporation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3.1</w:t>
            </w:r>
          </w:p>
        </w:tc>
        <w:tc>
          <w:tcPr>
            <w:tcW w:w="9480" w:type="dxa"/>
            <w:vAlign w:val="bottom"/>
          </w:tcPr>
          <w:p>
            <w:pPr>
              <w:ind w:left="260"/>
              <w:spacing w:after="0"/>
              <w:rPr>
                <w:sz w:val="20"/>
                <w:szCs w:val="20"/>
                <w:color w:val="auto"/>
              </w:rPr>
            </w:pPr>
            <w:r>
              <w:rPr>
                <w:rFonts w:ascii="Arial" w:cs="Arial" w:eastAsia="Arial" w:hAnsi="Arial"/>
                <w:sz w:val="18"/>
                <w:szCs w:val="18"/>
                <w:color w:val="auto"/>
              </w:rPr>
              <w:t>Powers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3.2</w:t>
            </w:r>
          </w:p>
        </w:tc>
        <w:tc>
          <w:tcPr>
            <w:tcW w:w="9480" w:type="dxa"/>
            <w:vAlign w:val="bottom"/>
          </w:tcPr>
          <w:p>
            <w:pPr>
              <w:ind w:left="260"/>
              <w:spacing w:after="0"/>
              <w:rPr>
                <w:sz w:val="20"/>
                <w:szCs w:val="20"/>
                <w:color w:val="auto"/>
              </w:rPr>
            </w:pPr>
            <w:r>
              <w:rPr>
                <w:rFonts w:ascii="Arial" w:cs="Arial" w:eastAsia="Arial" w:hAnsi="Arial"/>
                <w:sz w:val="18"/>
                <w:szCs w:val="18"/>
                <w:color w:val="auto"/>
              </w:rPr>
              <w:t>Number of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3.3</w:t>
            </w:r>
          </w:p>
        </w:tc>
        <w:tc>
          <w:tcPr>
            <w:tcW w:w="9480" w:type="dxa"/>
            <w:vAlign w:val="bottom"/>
          </w:tcPr>
          <w:p>
            <w:pPr>
              <w:ind w:left="260"/>
              <w:spacing w:after="0"/>
              <w:rPr>
                <w:sz w:val="20"/>
                <w:szCs w:val="20"/>
                <w:color w:val="auto"/>
              </w:rPr>
            </w:pPr>
            <w:r>
              <w:rPr>
                <w:rFonts w:ascii="Arial" w:cs="Arial" w:eastAsia="Arial" w:hAnsi="Arial"/>
                <w:sz w:val="18"/>
                <w:szCs w:val="18"/>
                <w:color w:val="auto"/>
              </w:rPr>
              <w:t>Election, Qualification and Term of Office of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3.4</w:t>
            </w:r>
          </w:p>
        </w:tc>
        <w:tc>
          <w:tcPr>
            <w:tcW w:w="9480" w:type="dxa"/>
            <w:vAlign w:val="bottom"/>
          </w:tcPr>
          <w:p>
            <w:pPr>
              <w:ind w:left="260"/>
              <w:spacing w:after="0"/>
              <w:rPr>
                <w:sz w:val="20"/>
                <w:szCs w:val="20"/>
                <w:color w:val="auto"/>
              </w:rPr>
            </w:pPr>
            <w:r>
              <w:rPr>
                <w:rFonts w:ascii="Arial" w:cs="Arial" w:eastAsia="Arial" w:hAnsi="Arial"/>
                <w:sz w:val="18"/>
                <w:szCs w:val="18"/>
                <w:color w:val="auto"/>
              </w:rPr>
              <w:t>Resignation and Vacancies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3.5</w:t>
            </w:r>
          </w:p>
        </w:tc>
        <w:tc>
          <w:tcPr>
            <w:tcW w:w="9480" w:type="dxa"/>
            <w:vAlign w:val="bottom"/>
          </w:tcPr>
          <w:p>
            <w:pPr>
              <w:ind w:left="260"/>
              <w:spacing w:after="0"/>
              <w:rPr>
                <w:sz w:val="20"/>
                <w:szCs w:val="20"/>
                <w:color w:val="auto"/>
              </w:rPr>
            </w:pPr>
            <w:r>
              <w:rPr>
                <w:rFonts w:ascii="Arial" w:cs="Arial" w:eastAsia="Arial" w:hAnsi="Arial"/>
                <w:sz w:val="18"/>
                <w:szCs w:val="18"/>
                <w:color w:val="auto"/>
              </w:rPr>
              <w:t>Place of Meetings; Meetings by Telephone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C-13</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3.6</w:t>
            </w:r>
          </w:p>
        </w:tc>
        <w:tc>
          <w:tcPr>
            <w:tcW w:w="9480" w:type="dxa"/>
            <w:vAlign w:val="bottom"/>
          </w:tcPr>
          <w:p>
            <w:pPr>
              <w:ind w:left="260"/>
              <w:spacing w:after="0"/>
              <w:rPr>
                <w:sz w:val="20"/>
                <w:szCs w:val="20"/>
                <w:color w:val="auto"/>
              </w:rPr>
            </w:pPr>
            <w:r>
              <w:rPr>
                <w:rFonts w:ascii="Arial" w:cs="Arial" w:eastAsia="Arial" w:hAnsi="Arial"/>
                <w:sz w:val="18"/>
                <w:szCs w:val="18"/>
                <w:color w:val="auto"/>
              </w:rPr>
              <w:t>Regular Meetings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C-14</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3.7</w:t>
            </w:r>
          </w:p>
        </w:tc>
        <w:tc>
          <w:tcPr>
            <w:tcW w:w="9480" w:type="dxa"/>
            <w:vAlign w:val="bottom"/>
          </w:tcPr>
          <w:p>
            <w:pPr>
              <w:ind w:left="260"/>
              <w:spacing w:after="0"/>
              <w:rPr>
                <w:sz w:val="20"/>
                <w:szCs w:val="20"/>
                <w:color w:val="auto"/>
              </w:rPr>
            </w:pPr>
            <w:r>
              <w:rPr>
                <w:rFonts w:ascii="Arial" w:cs="Arial" w:eastAsia="Arial" w:hAnsi="Arial"/>
                <w:sz w:val="18"/>
                <w:szCs w:val="18"/>
                <w:color w:val="auto"/>
              </w:rPr>
              <w:t>Special Meetings; Notice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C-14</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3.8</w:t>
            </w:r>
          </w:p>
        </w:tc>
        <w:tc>
          <w:tcPr>
            <w:tcW w:w="9480" w:type="dxa"/>
            <w:vAlign w:val="bottom"/>
          </w:tcPr>
          <w:p>
            <w:pPr>
              <w:ind w:left="260"/>
              <w:spacing w:after="0"/>
              <w:rPr>
                <w:sz w:val="20"/>
                <w:szCs w:val="20"/>
                <w:color w:val="auto"/>
              </w:rPr>
            </w:pPr>
            <w:r>
              <w:rPr>
                <w:rFonts w:ascii="Arial" w:cs="Arial" w:eastAsia="Arial" w:hAnsi="Arial"/>
                <w:sz w:val="18"/>
                <w:szCs w:val="18"/>
                <w:color w:val="auto"/>
              </w:rPr>
              <w:t>Quorum</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C-14</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3.9</w:t>
            </w:r>
          </w:p>
        </w:tc>
        <w:tc>
          <w:tcPr>
            <w:tcW w:w="9480" w:type="dxa"/>
            <w:vAlign w:val="bottom"/>
          </w:tcPr>
          <w:p>
            <w:pPr>
              <w:ind w:left="260"/>
              <w:spacing w:after="0"/>
              <w:rPr>
                <w:sz w:val="20"/>
                <w:szCs w:val="20"/>
                <w:color w:val="auto"/>
              </w:rPr>
            </w:pPr>
            <w:r>
              <w:rPr>
                <w:rFonts w:ascii="Arial" w:cs="Arial" w:eastAsia="Arial" w:hAnsi="Arial"/>
                <w:sz w:val="18"/>
                <w:szCs w:val="18"/>
                <w:color w:val="auto"/>
              </w:rPr>
              <w:t>Board Action without a Meeting</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C-14</w:t>
            </w:r>
          </w:p>
        </w:tc>
        <w:tc>
          <w:tcPr>
            <w:tcW w:w="0" w:type="dxa"/>
            <w:vAlign w:val="bottom"/>
          </w:tcPr>
          <w:p>
            <w:pPr>
              <w:spacing w:after="0"/>
              <w:rPr>
                <w:sz w:val="1"/>
                <w:szCs w:val="1"/>
                <w:color w:val="auto"/>
              </w:rPr>
            </w:pPr>
          </w:p>
        </w:tc>
      </w:tr>
      <w:tr>
        <w:trPr>
          <w:trHeight w:val="216"/>
        </w:trPr>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3.10</w:t>
            </w:r>
          </w:p>
        </w:tc>
        <w:tc>
          <w:tcPr>
            <w:tcW w:w="9480" w:type="dxa"/>
            <w:vAlign w:val="bottom"/>
          </w:tcPr>
          <w:p>
            <w:pPr>
              <w:ind w:left="260"/>
              <w:spacing w:after="0"/>
              <w:rPr>
                <w:sz w:val="20"/>
                <w:szCs w:val="20"/>
                <w:color w:val="auto"/>
              </w:rPr>
            </w:pPr>
            <w:r>
              <w:rPr>
                <w:rFonts w:ascii="Arial" w:cs="Arial" w:eastAsia="Arial" w:hAnsi="Arial"/>
                <w:sz w:val="18"/>
                <w:szCs w:val="18"/>
                <w:color w:val="auto"/>
              </w:rPr>
              <w:t>Fees and Compensation of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C-14</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C-15</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4.1</w:t>
            </w:r>
          </w:p>
        </w:tc>
        <w:tc>
          <w:tcPr>
            <w:tcW w:w="9480" w:type="dxa"/>
            <w:vAlign w:val="bottom"/>
          </w:tcPr>
          <w:p>
            <w:pPr>
              <w:ind w:left="260"/>
              <w:spacing w:after="0"/>
              <w:rPr>
                <w:sz w:val="20"/>
                <w:szCs w:val="20"/>
                <w:color w:val="auto"/>
              </w:rPr>
            </w:pPr>
            <w:r>
              <w:rPr>
                <w:rFonts w:ascii="Arial" w:cs="Arial" w:eastAsia="Arial" w:hAnsi="Arial"/>
                <w:sz w:val="18"/>
                <w:szCs w:val="18"/>
                <w:color w:val="auto"/>
              </w:rPr>
              <w:t>Committees of Directors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C-15</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4.2</w:t>
            </w:r>
          </w:p>
        </w:tc>
        <w:tc>
          <w:tcPr>
            <w:tcW w:w="9480" w:type="dxa"/>
            <w:vAlign w:val="bottom"/>
          </w:tcPr>
          <w:p>
            <w:pPr>
              <w:ind w:left="260"/>
              <w:spacing w:after="0"/>
              <w:rPr>
                <w:sz w:val="20"/>
                <w:szCs w:val="20"/>
                <w:color w:val="auto"/>
              </w:rPr>
            </w:pPr>
            <w:r>
              <w:rPr>
                <w:rFonts w:ascii="Arial" w:cs="Arial" w:eastAsia="Arial" w:hAnsi="Arial"/>
                <w:sz w:val="18"/>
                <w:szCs w:val="18"/>
                <w:color w:val="auto"/>
              </w:rPr>
              <w:t>Meetings and Actions of Committees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C-15</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4.3</w:t>
            </w:r>
          </w:p>
        </w:tc>
        <w:tc>
          <w:tcPr>
            <w:tcW w:w="9480" w:type="dxa"/>
            <w:vAlign w:val="bottom"/>
          </w:tcPr>
          <w:p>
            <w:pPr>
              <w:ind w:left="260"/>
              <w:spacing w:after="0"/>
              <w:rPr>
                <w:sz w:val="20"/>
                <w:szCs w:val="20"/>
                <w:color w:val="auto"/>
              </w:rPr>
            </w:pPr>
            <w:r>
              <w:rPr>
                <w:rFonts w:ascii="Arial" w:cs="Arial" w:eastAsia="Arial" w:hAnsi="Arial"/>
                <w:sz w:val="18"/>
                <w:szCs w:val="18"/>
                <w:color w:val="auto"/>
              </w:rPr>
              <w:t>Subcommittees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C-15</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C-15</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5.1</w:t>
            </w:r>
          </w:p>
        </w:tc>
        <w:tc>
          <w:tcPr>
            <w:tcW w:w="9480" w:type="dxa"/>
            <w:vAlign w:val="bottom"/>
          </w:tcPr>
          <w:p>
            <w:pPr>
              <w:ind w:left="260"/>
              <w:spacing w:after="0"/>
              <w:rPr>
                <w:sz w:val="20"/>
                <w:szCs w:val="20"/>
                <w:color w:val="auto"/>
              </w:rPr>
            </w:pPr>
            <w:r>
              <w:rPr>
                <w:rFonts w:ascii="Arial" w:cs="Arial" w:eastAsia="Arial" w:hAnsi="Arial"/>
                <w:sz w:val="18"/>
                <w:szCs w:val="18"/>
                <w:color w:val="auto"/>
              </w:rPr>
              <w:t>Officers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C-16</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5.2</w:t>
            </w:r>
          </w:p>
        </w:tc>
        <w:tc>
          <w:tcPr>
            <w:tcW w:w="9480" w:type="dxa"/>
            <w:vAlign w:val="bottom"/>
          </w:tcPr>
          <w:p>
            <w:pPr>
              <w:ind w:left="260"/>
              <w:spacing w:after="0"/>
              <w:rPr>
                <w:sz w:val="20"/>
                <w:szCs w:val="20"/>
                <w:color w:val="auto"/>
              </w:rPr>
            </w:pPr>
            <w:r>
              <w:rPr>
                <w:rFonts w:ascii="Arial" w:cs="Arial" w:eastAsia="Arial" w:hAnsi="Arial"/>
                <w:sz w:val="18"/>
                <w:szCs w:val="18"/>
                <w:color w:val="auto"/>
              </w:rPr>
              <w:t>Appointment of Officers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C-16</w:t>
            </w:r>
          </w:p>
        </w:tc>
        <w:tc>
          <w:tcPr>
            <w:tcW w:w="0" w:type="dxa"/>
            <w:vAlign w:val="bottom"/>
          </w:tcPr>
          <w:p>
            <w:pPr>
              <w:spacing w:after="0"/>
              <w:rPr>
                <w:sz w:val="1"/>
                <w:szCs w:val="1"/>
                <w:color w:val="auto"/>
              </w:rPr>
            </w:pPr>
          </w:p>
        </w:tc>
      </w:tr>
      <w:tr>
        <w:trPr>
          <w:trHeight w:val="216"/>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5.3</w:t>
            </w:r>
          </w:p>
        </w:tc>
        <w:tc>
          <w:tcPr>
            <w:tcW w:w="9480" w:type="dxa"/>
            <w:vAlign w:val="bottom"/>
          </w:tcPr>
          <w:p>
            <w:pPr>
              <w:ind w:left="260"/>
              <w:spacing w:after="0"/>
              <w:rPr>
                <w:sz w:val="20"/>
                <w:szCs w:val="20"/>
                <w:color w:val="auto"/>
              </w:rPr>
            </w:pPr>
            <w:r>
              <w:rPr>
                <w:rFonts w:ascii="Arial" w:cs="Arial" w:eastAsia="Arial" w:hAnsi="Arial"/>
                <w:sz w:val="18"/>
                <w:szCs w:val="18"/>
                <w:color w:val="auto"/>
              </w:rPr>
              <w:t>Subordinate Officers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C-16</w:t>
            </w:r>
          </w:p>
        </w:tc>
        <w:tc>
          <w:tcPr>
            <w:tcW w:w="0" w:type="dxa"/>
            <w:vAlign w:val="bottom"/>
          </w:tcPr>
          <w:p>
            <w:pPr>
              <w:spacing w:after="0"/>
              <w:rPr>
                <w:sz w:val="1"/>
                <w:szCs w:val="1"/>
                <w:color w:val="auto"/>
              </w:rPr>
            </w:pPr>
          </w:p>
        </w:tc>
      </w:tr>
      <w:tr>
        <w:trPr>
          <w:trHeight w:val="230"/>
        </w:trPr>
        <w:tc>
          <w:tcPr>
            <w:tcW w:w="1100" w:type="dxa"/>
            <w:vAlign w:val="bottom"/>
          </w:tcPr>
          <w:p>
            <w:pPr>
              <w:jc w:val="center"/>
              <w:ind w:left="190"/>
              <w:spacing w:after="0"/>
              <w:rPr>
                <w:sz w:val="20"/>
                <w:szCs w:val="20"/>
                <w:color w:val="auto"/>
              </w:rPr>
            </w:pPr>
            <w:r>
              <w:rPr>
                <w:rFonts w:ascii="Arial" w:cs="Arial" w:eastAsia="Arial" w:hAnsi="Arial"/>
                <w:sz w:val="18"/>
                <w:szCs w:val="18"/>
                <w:color w:val="auto"/>
                <w:w w:val="87"/>
              </w:rPr>
              <w:t>5.4</w:t>
            </w:r>
          </w:p>
        </w:tc>
        <w:tc>
          <w:tcPr>
            <w:tcW w:w="9480" w:type="dxa"/>
            <w:vAlign w:val="bottom"/>
          </w:tcPr>
          <w:p>
            <w:pPr>
              <w:ind w:left="260"/>
              <w:spacing w:after="0"/>
              <w:rPr>
                <w:sz w:val="20"/>
                <w:szCs w:val="20"/>
                <w:color w:val="auto"/>
              </w:rPr>
            </w:pPr>
            <w:r>
              <w:rPr>
                <w:rFonts w:ascii="Arial" w:cs="Arial" w:eastAsia="Arial" w:hAnsi="Arial"/>
                <w:sz w:val="18"/>
                <w:szCs w:val="18"/>
                <w:color w:val="auto"/>
              </w:rPr>
              <w:t>Removal and Resignation of Officers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C-16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260" w:type="dxa"/>
            <w:vAlign w:val="bottom"/>
            <w:vMerge w:val="restart"/>
          </w:tcPr>
          <w:p>
            <w:pPr>
              <w:jc w:val="center"/>
              <w:ind w:left="30"/>
              <w:spacing w:after="0"/>
              <w:rPr>
                <w:sz w:val="20"/>
                <w:szCs w:val="20"/>
                <w:color w:val="auto"/>
              </w:rPr>
            </w:pPr>
            <w:r>
              <w:rPr>
                <w:rFonts w:ascii="Arial" w:cs="Arial" w:eastAsia="Arial" w:hAnsi="Arial"/>
                <w:sz w:val="18"/>
                <w:szCs w:val="18"/>
                <w:color w:val="auto"/>
                <w:w w:val="87"/>
              </w:rPr>
              <w:t>5.5</w:t>
            </w: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Vacancies in Offices</w:t>
            </w: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1260" w:type="dxa"/>
            <w:vAlign w:val="bottom"/>
            <w:vMerge w:val="continue"/>
          </w:tcPr>
          <w:p>
            <w:pPr>
              <w:spacing w:after="0"/>
              <w:rPr>
                <w:sz w:val="16"/>
                <w:szCs w:val="16"/>
                <w:color w:val="auto"/>
              </w:rPr>
            </w:pPr>
          </w:p>
        </w:tc>
        <w:tc>
          <w:tcPr>
            <w:tcW w:w="9320" w:type="dxa"/>
            <w:vAlign w:val="bottom"/>
            <w:vMerge w:val="continue"/>
          </w:tcPr>
          <w:p>
            <w:pPr>
              <w:spacing w:after="0"/>
              <w:rPr>
                <w:sz w:val="16"/>
                <w:szCs w:val="16"/>
                <w:color w:val="auto"/>
              </w:rPr>
            </w:pPr>
          </w:p>
        </w:tc>
        <w:tc>
          <w:tcPr>
            <w:tcW w:w="66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w w:val="87"/>
              </w:rPr>
              <w:t>C-16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5.6</w:t>
            </w:r>
          </w:p>
        </w:tc>
        <w:tc>
          <w:tcPr>
            <w:tcW w:w="9320" w:type="dxa"/>
            <w:vAlign w:val="bottom"/>
          </w:tcPr>
          <w:p>
            <w:pPr>
              <w:ind w:left="100"/>
              <w:spacing w:after="0"/>
              <w:rPr>
                <w:sz w:val="20"/>
                <w:szCs w:val="20"/>
                <w:color w:val="auto"/>
              </w:rPr>
            </w:pPr>
            <w:r>
              <w:rPr>
                <w:rFonts w:ascii="Arial" w:cs="Arial" w:eastAsia="Arial" w:hAnsi="Arial"/>
                <w:sz w:val="18"/>
                <w:szCs w:val="18"/>
                <w:color w:val="auto"/>
              </w:rPr>
              <w:t>Representation of Shares of Other Corporations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5.7</w:t>
            </w:r>
          </w:p>
        </w:tc>
        <w:tc>
          <w:tcPr>
            <w:tcW w:w="9320" w:type="dxa"/>
            <w:vAlign w:val="bottom"/>
          </w:tcPr>
          <w:p>
            <w:pPr>
              <w:ind w:left="100"/>
              <w:spacing w:after="0"/>
              <w:rPr>
                <w:sz w:val="20"/>
                <w:szCs w:val="20"/>
                <w:color w:val="auto"/>
              </w:rPr>
            </w:pPr>
            <w:r>
              <w:rPr>
                <w:rFonts w:ascii="Arial" w:cs="Arial" w:eastAsia="Arial" w:hAnsi="Arial"/>
                <w:sz w:val="18"/>
                <w:szCs w:val="18"/>
                <w:color w:val="auto"/>
              </w:rPr>
              <w:t>Authority and Duties of Officers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5.8</w:t>
            </w:r>
          </w:p>
        </w:tc>
        <w:tc>
          <w:tcPr>
            <w:tcW w:w="93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 — Records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7.1</w:t>
            </w:r>
          </w:p>
        </w:tc>
        <w:tc>
          <w:tcPr>
            <w:tcW w:w="9320" w:type="dxa"/>
            <w:vAlign w:val="bottom"/>
          </w:tcPr>
          <w:p>
            <w:pPr>
              <w:ind w:left="100"/>
              <w:spacing w:after="0"/>
              <w:rPr>
                <w:sz w:val="20"/>
                <w:szCs w:val="20"/>
                <w:color w:val="auto"/>
              </w:rPr>
            </w:pPr>
            <w:r>
              <w:rPr>
                <w:rFonts w:ascii="Arial" w:cs="Arial" w:eastAsia="Arial" w:hAnsi="Arial"/>
                <w:sz w:val="18"/>
                <w:szCs w:val="18"/>
                <w:color w:val="auto"/>
              </w:rPr>
              <w:t>Execution of Corporate Contracts and Instruments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7.2</w:t>
            </w:r>
          </w:p>
        </w:tc>
        <w:tc>
          <w:tcPr>
            <w:tcW w:w="9320" w:type="dxa"/>
            <w:vAlign w:val="bottom"/>
          </w:tcPr>
          <w:p>
            <w:pPr>
              <w:ind w:left="100"/>
              <w:spacing w:after="0"/>
              <w:rPr>
                <w:sz w:val="20"/>
                <w:szCs w:val="20"/>
                <w:color w:val="auto"/>
              </w:rPr>
            </w:pPr>
            <w:r>
              <w:rPr>
                <w:rFonts w:ascii="Arial" w:cs="Arial" w:eastAsia="Arial" w:hAnsi="Arial"/>
                <w:sz w:val="18"/>
                <w:szCs w:val="18"/>
                <w:color w:val="auto"/>
              </w:rPr>
              <w:t>Stock Certificates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7.3</w:t>
            </w:r>
          </w:p>
        </w:tc>
        <w:tc>
          <w:tcPr>
            <w:tcW w:w="9320" w:type="dxa"/>
            <w:vAlign w:val="bottom"/>
          </w:tcPr>
          <w:p>
            <w:pPr>
              <w:ind w:left="100"/>
              <w:spacing w:after="0"/>
              <w:rPr>
                <w:sz w:val="20"/>
                <w:szCs w:val="20"/>
                <w:color w:val="auto"/>
              </w:rPr>
            </w:pPr>
            <w:r>
              <w:rPr>
                <w:rFonts w:ascii="Arial" w:cs="Arial" w:eastAsia="Arial" w:hAnsi="Arial"/>
                <w:sz w:val="18"/>
                <w:szCs w:val="18"/>
                <w:color w:val="auto"/>
              </w:rPr>
              <w:t>Special Designation of Certificates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7.4</w:t>
            </w:r>
          </w:p>
        </w:tc>
        <w:tc>
          <w:tcPr>
            <w:tcW w:w="9320" w:type="dxa"/>
            <w:vAlign w:val="bottom"/>
          </w:tcPr>
          <w:p>
            <w:pPr>
              <w:ind w:left="100"/>
              <w:spacing w:after="0"/>
              <w:rPr>
                <w:sz w:val="20"/>
                <w:szCs w:val="20"/>
                <w:color w:val="auto"/>
              </w:rPr>
            </w:pPr>
            <w:r>
              <w:rPr>
                <w:rFonts w:ascii="Arial" w:cs="Arial" w:eastAsia="Arial" w:hAnsi="Arial"/>
                <w:sz w:val="18"/>
                <w:szCs w:val="18"/>
                <w:color w:val="auto"/>
              </w:rPr>
              <w:t>Lost Certificates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7.5</w:t>
            </w:r>
          </w:p>
        </w:tc>
        <w:tc>
          <w:tcPr>
            <w:tcW w:w="9320" w:type="dxa"/>
            <w:vAlign w:val="bottom"/>
          </w:tcPr>
          <w:p>
            <w:pPr>
              <w:ind w:left="100"/>
              <w:spacing w:after="0"/>
              <w:rPr>
                <w:sz w:val="20"/>
                <w:szCs w:val="20"/>
                <w:color w:val="auto"/>
              </w:rPr>
            </w:pPr>
            <w:r>
              <w:rPr>
                <w:rFonts w:ascii="Arial" w:cs="Arial" w:eastAsia="Arial" w:hAnsi="Arial"/>
                <w:sz w:val="18"/>
                <w:szCs w:val="18"/>
                <w:color w:val="auto"/>
              </w:rPr>
              <w:t>Shares Without Certificates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7.6</w:t>
            </w:r>
          </w:p>
        </w:tc>
        <w:tc>
          <w:tcPr>
            <w:tcW w:w="9320" w:type="dxa"/>
            <w:vAlign w:val="bottom"/>
          </w:tcPr>
          <w:p>
            <w:pPr>
              <w:ind w:left="100"/>
              <w:spacing w:after="0"/>
              <w:rPr>
                <w:sz w:val="20"/>
                <w:szCs w:val="20"/>
                <w:color w:val="auto"/>
              </w:rPr>
            </w:pPr>
            <w:r>
              <w:rPr>
                <w:rFonts w:ascii="Arial" w:cs="Arial" w:eastAsia="Arial" w:hAnsi="Arial"/>
                <w:sz w:val="18"/>
                <w:szCs w:val="18"/>
                <w:color w:val="auto"/>
              </w:rPr>
              <w:t>Construction; Definitions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7.7</w:t>
            </w:r>
          </w:p>
        </w:tc>
        <w:tc>
          <w:tcPr>
            <w:tcW w:w="932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7.8</w:t>
            </w:r>
          </w:p>
        </w:tc>
        <w:tc>
          <w:tcPr>
            <w:tcW w:w="932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7.9</w:t>
            </w:r>
          </w:p>
        </w:tc>
        <w:tc>
          <w:tcPr>
            <w:tcW w:w="9320" w:type="dxa"/>
            <w:vAlign w:val="bottom"/>
          </w:tcPr>
          <w:p>
            <w:pPr>
              <w:ind w:left="100"/>
              <w:spacing w:after="0"/>
              <w:rPr>
                <w:sz w:val="20"/>
                <w:szCs w:val="20"/>
                <w:color w:val="auto"/>
              </w:rPr>
            </w:pPr>
            <w:r>
              <w:rPr>
                <w:rFonts w:ascii="Arial" w:cs="Arial" w:eastAsia="Arial" w:hAnsi="Arial"/>
                <w:sz w:val="18"/>
                <w:szCs w:val="18"/>
                <w:color w:val="auto"/>
              </w:rPr>
              <w:t>Seal</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7.10</w:t>
            </w:r>
          </w:p>
        </w:tc>
        <w:tc>
          <w:tcPr>
            <w:tcW w:w="9320" w:type="dxa"/>
            <w:vAlign w:val="bottom"/>
          </w:tcPr>
          <w:p>
            <w:pPr>
              <w:ind w:left="100"/>
              <w:spacing w:after="0"/>
              <w:rPr>
                <w:sz w:val="20"/>
                <w:szCs w:val="20"/>
                <w:color w:val="auto"/>
              </w:rPr>
            </w:pPr>
            <w:r>
              <w:rPr>
                <w:rFonts w:ascii="Arial" w:cs="Arial" w:eastAsia="Arial" w:hAnsi="Arial"/>
                <w:sz w:val="18"/>
                <w:szCs w:val="18"/>
                <w:color w:val="auto"/>
              </w:rPr>
              <w:t>Transfer of Stock</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7.11</w:t>
            </w:r>
          </w:p>
        </w:tc>
        <w:tc>
          <w:tcPr>
            <w:tcW w:w="9320" w:type="dxa"/>
            <w:vAlign w:val="bottom"/>
          </w:tcPr>
          <w:p>
            <w:pPr>
              <w:ind w:left="100"/>
              <w:spacing w:after="0"/>
              <w:rPr>
                <w:sz w:val="20"/>
                <w:szCs w:val="20"/>
                <w:color w:val="auto"/>
              </w:rPr>
            </w:pPr>
            <w:r>
              <w:rPr>
                <w:rFonts w:ascii="Arial" w:cs="Arial" w:eastAsia="Arial" w:hAnsi="Arial"/>
                <w:sz w:val="18"/>
                <w:szCs w:val="18"/>
                <w:color w:val="auto"/>
              </w:rPr>
              <w:t>Stock Transfer Agreements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7.12</w:t>
            </w:r>
          </w:p>
        </w:tc>
        <w:tc>
          <w:tcPr>
            <w:tcW w:w="9320" w:type="dxa"/>
            <w:vAlign w:val="bottom"/>
          </w:tcPr>
          <w:p>
            <w:pPr>
              <w:ind w:left="100"/>
              <w:spacing w:after="0"/>
              <w:rPr>
                <w:sz w:val="20"/>
                <w:szCs w:val="20"/>
                <w:color w:val="auto"/>
              </w:rPr>
            </w:pPr>
            <w:r>
              <w:rPr>
                <w:rFonts w:ascii="Arial" w:cs="Arial" w:eastAsia="Arial" w:hAnsi="Arial"/>
                <w:sz w:val="18"/>
                <w:szCs w:val="18"/>
                <w:color w:val="auto"/>
              </w:rPr>
              <w:t>Lock-Up</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7.13</w:t>
            </w:r>
          </w:p>
        </w:tc>
        <w:tc>
          <w:tcPr>
            <w:tcW w:w="9320" w:type="dxa"/>
            <w:vAlign w:val="bottom"/>
          </w:tcPr>
          <w:p>
            <w:pPr>
              <w:ind w:left="100"/>
              <w:spacing w:after="0"/>
              <w:rPr>
                <w:sz w:val="20"/>
                <w:szCs w:val="20"/>
                <w:color w:val="auto"/>
              </w:rPr>
            </w:pPr>
            <w:r>
              <w:rPr>
                <w:rFonts w:ascii="Arial" w:cs="Arial" w:eastAsia="Arial" w:hAnsi="Arial"/>
                <w:sz w:val="18"/>
                <w:szCs w:val="18"/>
                <w:color w:val="auto"/>
              </w:rPr>
              <w:t>Registered Stockholders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7.14</w:t>
            </w:r>
          </w:p>
        </w:tc>
        <w:tc>
          <w:tcPr>
            <w:tcW w:w="932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VIII — Notice</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8.1</w:t>
            </w:r>
          </w:p>
        </w:tc>
        <w:tc>
          <w:tcPr>
            <w:tcW w:w="9320" w:type="dxa"/>
            <w:vAlign w:val="bottom"/>
          </w:tcPr>
          <w:p>
            <w:pPr>
              <w:ind w:left="100"/>
              <w:spacing w:after="0"/>
              <w:rPr>
                <w:sz w:val="20"/>
                <w:szCs w:val="20"/>
                <w:color w:val="auto"/>
              </w:rPr>
            </w:pPr>
            <w:r>
              <w:rPr>
                <w:rFonts w:ascii="Arial" w:cs="Arial" w:eastAsia="Arial" w:hAnsi="Arial"/>
                <w:sz w:val="18"/>
                <w:szCs w:val="18"/>
                <w:color w:val="auto"/>
              </w:rPr>
              <w:t>Delivery of Notice; Notice by Electronic Transmission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IX — Indemnification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9.1</w:t>
            </w:r>
          </w:p>
        </w:tc>
        <w:tc>
          <w:tcPr>
            <w:tcW w:w="9320" w:type="dxa"/>
            <w:vAlign w:val="bottom"/>
          </w:tcPr>
          <w:p>
            <w:pPr>
              <w:ind w:left="100"/>
              <w:spacing w:after="0"/>
              <w:rPr>
                <w:sz w:val="20"/>
                <w:szCs w:val="20"/>
                <w:color w:val="auto"/>
              </w:rPr>
            </w:pPr>
            <w:r>
              <w:rPr>
                <w:rFonts w:ascii="Arial" w:cs="Arial" w:eastAsia="Arial" w:hAnsi="Arial"/>
                <w:sz w:val="18"/>
                <w:szCs w:val="18"/>
                <w:color w:val="auto"/>
              </w:rPr>
              <w:t>Power to Indemnify in Actions, Suits or Proceedings other than Those by or in the Righto f the Corporation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9.2</w:t>
            </w:r>
          </w:p>
        </w:tc>
        <w:tc>
          <w:tcPr>
            <w:tcW w:w="9320" w:type="dxa"/>
            <w:vAlign w:val="bottom"/>
          </w:tcPr>
          <w:p>
            <w:pPr>
              <w:ind w:left="100"/>
              <w:spacing w:after="0"/>
              <w:rPr>
                <w:sz w:val="20"/>
                <w:szCs w:val="20"/>
                <w:color w:val="auto"/>
              </w:rPr>
            </w:pPr>
            <w:r>
              <w:rPr>
                <w:rFonts w:ascii="Arial" w:cs="Arial" w:eastAsia="Arial" w:hAnsi="Arial"/>
                <w:sz w:val="18"/>
                <w:szCs w:val="18"/>
                <w:color w:val="auto"/>
              </w:rPr>
              <w:t>Power to Indemnify in Actions, Suits or Proceedings by or in the Right of theC orporation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9.3</w:t>
            </w:r>
          </w:p>
        </w:tc>
        <w:tc>
          <w:tcPr>
            <w:tcW w:w="9320" w:type="dxa"/>
            <w:vAlign w:val="bottom"/>
          </w:tcPr>
          <w:p>
            <w:pPr>
              <w:ind w:left="100"/>
              <w:spacing w:after="0"/>
              <w:rPr>
                <w:sz w:val="20"/>
                <w:szCs w:val="20"/>
                <w:color w:val="auto"/>
              </w:rPr>
            </w:pPr>
            <w:r>
              <w:rPr>
                <w:rFonts w:ascii="Arial" w:cs="Arial" w:eastAsia="Arial" w:hAnsi="Arial"/>
                <w:sz w:val="18"/>
                <w:szCs w:val="18"/>
                <w:color w:val="auto"/>
              </w:rPr>
              <w:t>Authorization of Indemnification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9.4</w:t>
            </w:r>
          </w:p>
        </w:tc>
        <w:tc>
          <w:tcPr>
            <w:tcW w:w="9320" w:type="dxa"/>
            <w:vAlign w:val="bottom"/>
          </w:tcPr>
          <w:p>
            <w:pPr>
              <w:ind w:left="100"/>
              <w:spacing w:after="0"/>
              <w:rPr>
                <w:sz w:val="20"/>
                <w:szCs w:val="20"/>
                <w:color w:val="auto"/>
              </w:rPr>
            </w:pPr>
            <w:r>
              <w:rPr>
                <w:rFonts w:ascii="Arial" w:cs="Arial" w:eastAsia="Arial" w:hAnsi="Arial"/>
                <w:sz w:val="18"/>
                <w:szCs w:val="18"/>
                <w:color w:val="auto"/>
              </w:rPr>
              <w:t>Good Faith Defined</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9.5</w:t>
            </w:r>
          </w:p>
        </w:tc>
        <w:tc>
          <w:tcPr>
            <w:tcW w:w="9320" w:type="dxa"/>
            <w:vAlign w:val="bottom"/>
          </w:tcPr>
          <w:p>
            <w:pPr>
              <w:ind w:left="100"/>
              <w:spacing w:after="0"/>
              <w:rPr>
                <w:sz w:val="20"/>
                <w:szCs w:val="20"/>
                <w:color w:val="auto"/>
              </w:rPr>
            </w:pPr>
            <w:r>
              <w:rPr>
                <w:rFonts w:ascii="Arial" w:cs="Arial" w:eastAsia="Arial" w:hAnsi="Arial"/>
                <w:sz w:val="18"/>
                <w:szCs w:val="18"/>
                <w:color w:val="auto"/>
              </w:rPr>
              <w:t>Indemnification by a Court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9.6</w:t>
            </w:r>
          </w:p>
        </w:tc>
        <w:tc>
          <w:tcPr>
            <w:tcW w:w="9320" w:type="dxa"/>
            <w:vAlign w:val="bottom"/>
          </w:tcPr>
          <w:p>
            <w:pPr>
              <w:ind w:left="100"/>
              <w:spacing w:after="0"/>
              <w:rPr>
                <w:sz w:val="20"/>
                <w:szCs w:val="20"/>
                <w:color w:val="auto"/>
              </w:rPr>
            </w:pPr>
            <w:r>
              <w:rPr>
                <w:rFonts w:ascii="Arial" w:cs="Arial" w:eastAsia="Arial" w:hAnsi="Arial"/>
                <w:sz w:val="18"/>
                <w:szCs w:val="18"/>
                <w:color w:val="auto"/>
              </w:rPr>
              <w:t>Expenses Payable in Advance</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9.7</w:t>
            </w:r>
          </w:p>
        </w:tc>
        <w:tc>
          <w:tcPr>
            <w:tcW w:w="9320" w:type="dxa"/>
            <w:vAlign w:val="bottom"/>
          </w:tcPr>
          <w:p>
            <w:pPr>
              <w:ind w:left="100"/>
              <w:spacing w:after="0"/>
              <w:rPr>
                <w:sz w:val="20"/>
                <w:szCs w:val="20"/>
                <w:color w:val="auto"/>
              </w:rPr>
            </w:pPr>
            <w:r>
              <w:rPr>
                <w:rFonts w:ascii="Arial" w:cs="Arial" w:eastAsia="Arial" w:hAnsi="Arial"/>
                <w:sz w:val="18"/>
                <w:szCs w:val="18"/>
                <w:color w:val="auto"/>
              </w:rPr>
              <w:t>Nonexclusivity of Indemnification and Advancement of Expenses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9.8</w:t>
            </w:r>
          </w:p>
        </w:tc>
        <w:tc>
          <w:tcPr>
            <w:tcW w:w="932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9.9</w:t>
            </w:r>
          </w:p>
        </w:tc>
        <w:tc>
          <w:tcPr>
            <w:tcW w:w="9320" w:type="dxa"/>
            <w:vAlign w:val="bottom"/>
          </w:tcPr>
          <w:p>
            <w:pPr>
              <w:ind w:left="100"/>
              <w:spacing w:after="0"/>
              <w:rPr>
                <w:sz w:val="20"/>
                <w:szCs w:val="20"/>
                <w:color w:val="auto"/>
              </w:rPr>
            </w:pPr>
            <w:r>
              <w:rPr>
                <w:rFonts w:ascii="Arial" w:cs="Arial" w:eastAsia="Arial" w:hAnsi="Arial"/>
                <w:sz w:val="18"/>
                <w:szCs w:val="18"/>
                <w:color w:val="auto"/>
              </w:rPr>
              <w:t>Certain Definitions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9.10</w:t>
            </w:r>
          </w:p>
        </w:tc>
        <w:tc>
          <w:tcPr>
            <w:tcW w:w="9320" w:type="dxa"/>
            <w:vAlign w:val="bottom"/>
          </w:tcPr>
          <w:p>
            <w:pPr>
              <w:ind w:left="100"/>
              <w:spacing w:after="0"/>
              <w:rPr>
                <w:sz w:val="20"/>
                <w:szCs w:val="20"/>
                <w:color w:val="auto"/>
              </w:rPr>
            </w:pPr>
            <w:r>
              <w:rPr>
                <w:rFonts w:ascii="Arial" w:cs="Arial" w:eastAsia="Arial" w:hAnsi="Arial"/>
                <w:sz w:val="18"/>
                <w:szCs w:val="18"/>
                <w:color w:val="auto"/>
              </w:rPr>
              <w:t>Survival of Indemnification and Advancement of Expenses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9.11</w:t>
            </w:r>
          </w:p>
        </w:tc>
        <w:tc>
          <w:tcPr>
            <w:tcW w:w="9320" w:type="dxa"/>
            <w:vAlign w:val="bottom"/>
          </w:tcPr>
          <w:p>
            <w:pPr>
              <w:ind w:left="100"/>
              <w:spacing w:after="0"/>
              <w:rPr>
                <w:sz w:val="20"/>
                <w:szCs w:val="20"/>
                <w:color w:val="auto"/>
              </w:rPr>
            </w:pPr>
            <w:r>
              <w:rPr>
                <w:rFonts w:ascii="Arial" w:cs="Arial" w:eastAsia="Arial" w:hAnsi="Arial"/>
                <w:sz w:val="18"/>
                <w:szCs w:val="18"/>
                <w:color w:val="auto"/>
              </w:rPr>
              <w:t>Limitation on Indemnification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C-24</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9.12</w:t>
            </w:r>
          </w:p>
        </w:tc>
        <w:tc>
          <w:tcPr>
            <w:tcW w:w="9320" w:type="dxa"/>
            <w:vAlign w:val="bottom"/>
          </w:tcPr>
          <w:p>
            <w:pPr>
              <w:ind w:left="100"/>
              <w:spacing w:after="0"/>
              <w:rPr>
                <w:sz w:val="20"/>
                <w:szCs w:val="20"/>
                <w:color w:val="auto"/>
              </w:rPr>
            </w:pPr>
            <w:r>
              <w:rPr>
                <w:rFonts w:ascii="Arial" w:cs="Arial" w:eastAsia="Arial" w:hAnsi="Arial"/>
                <w:sz w:val="18"/>
                <w:szCs w:val="18"/>
                <w:color w:val="auto"/>
              </w:rPr>
              <w:t>Indemnification of Employees and Agents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C-24</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9.13</w:t>
            </w:r>
          </w:p>
        </w:tc>
        <w:tc>
          <w:tcPr>
            <w:tcW w:w="9320" w:type="dxa"/>
            <w:vAlign w:val="bottom"/>
          </w:tcPr>
          <w:p>
            <w:pPr>
              <w:ind w:left="100"/>
              <w:spacing w:after="0"/>
              <w:rPr>
                <w:sz w:val="20"/>
                <w:szCs w:val="20"/>
                <w:color w:val="auto"/>
              </w:rPr>
            </w:pPr>
            <w:r>
              <w:rPr>
                <w:rFonts w:ascii="Arial" w:cs="Arial" w:eastAsia="Arial" w:hAnsi="Arial"/>
                <w:sz w:val="18"/>
                <w:szCs w:val="18"/>
                <w:color w:val="auto"/>
              </w:rPr>
              <w:t>Primacy of Indemnification</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C-24</w:t>
            </w:r>
          </w:p>
        </w:tc>
        <w:tc>
          <w:tcPr>
            <w:tcW w:w="0" w:type="dxa"/>
            <w:vAlign w:val="bottom"/>
          </w:tcPr>
          <w:p>
            <w:pPr>
              <w:spacing w:after="0"/>
              <w:rPr>
                <w:sz w:val="1"/>
                <w:szCs w:val="1"/>
                <w:color w:val="auto"/>
              </w:rPr>
            </w:pPr>
          </w:p>
        </w:tc>
      </w:tr>
      <w:tr>
        <w:trPr>
          <w:trHeight w:val="216"/>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9.14</w:t>
            </w:r>
          </w:p>
        </w:tc>
        <w:tc>
          <w:tcPr>
            <w:tcW w:w="932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C-24</w:t>
            </w:r>
          </w:p>
        </w:tc>
        <w:tc>
          <w:tcPr>
            <w:tcW w:w="0" w:type="dxa"/>
            <w:vAlign w:val="bottom"/>
          </w:tcPr>
          <w:p>
            <w:pPr>
              <w:spacing w:after="0"/>
              <w:rPr>
                <w:sz w:val="1"/>
                <w:szCs w:val="1"/>
                <w:color w:val="auto"/>
              </w:rPr>
            </w:pPr>
          </w:p>
        </w:tc>
      </w:tr>
      <w:tr>
        <w:trPr>
          <w:trHeight w:val="216"/>
        </w:trPr>
        <w:tc>
          <w:tcPr>
            <w:tcW w:w="1260" w:type="dxa"/>
            <w:vAlign w:val="bottom"/>
          </w:tcPr>
          <w:p>
            <w:pPr>
              <w:ind w:left="240"/>
              <w:spacing w:after="0"/>
              <w:rPr>
                <w:sz w:val="20"/>
                <w:szCs w:val="20"/>
                <w:color w:val="auto"/>
              </w:rPr>
            </w:pPr>
            <w:r>
              <w:rPr>
                <w:rFonts w:ascii="Arial" w:cs="Arial" w:eastAsia="Arial" w:hAnsi="Arial"/>
                <w:sz w:val="18"/>
                <w:szCs w:val="18"/>
                <w:color w:val="auto"/>
              </w:rPr>
              <w:t>Article X —</w:t>
            </w:r>
          </w:p>
        </w:tc>
        <w:tc>
          <w:tcPr>
            <w:tcW w:w="932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C-24</w:t>
            </w:r>
          </w:p>
        </w:tc>
        <w:tc>
          <w:tcPr>
            <w:tcW w:w="0" w:type="dxa"/>
            <w:vAlign w:val="bottom"/>
          </w:tcPr>
          <w:p>
            <w:pPr>
              <w:spacing w:after="0"/>
              <w:rPr>
                <w:sz w:val="1"/>
                <w:szCs w:val="1"/>
                <w:color w:val="auto"/>
              </w:rPr>
            </w:pP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Article XI —</w:t>
            </w:r>
          </w:p>
        </w:tc>
        <w:tc>
          <w:tcPr>
            <w:tcW w:w="93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2"/>
              </w:rPr>
              <w:t>C-24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Amended &amp; Restated Bylaws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Oncology Institute,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 — Corporate Offices</w:t>
      </w:r>
    </w:p>
    <w:p>
      <w:pPr>
        <w:spacing w:after="0" w:line="2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Registered Office</w:t>
      </w:r>
      <w:r>
        <w:rPr>
          <w:rFonts w:ascii="Arial" w:cs="Arial" w:eastAsia="Arial" w:hAnsi="Arial"/>
          <w:sz w:val="16"/>
          <w:szCs w:val="16"/>
          <w:color w:val="auto"/>
        </w:rPr>
        <w:t>.</w:t>
      </w:r>
    </w:p>
    <w:p>
      <w:pPr>
        <w:spacing w:after="0" w:line="21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address of the registered office of The Oncology Institute, Inc. (f/k/a DFP Healthcare Acquisitions Corp.)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84"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Offices</w:t>
      </w:r>
      <w:r>
        <w:rPr>
          <w:rFonts w:ascii="Arial" w:cs="Arial" w:eastAsia="Arial" w:hAnsi="Arial"/>
          <w:sz w:val="16"/>
          <w:szCs w:val="16"/>
          <w:color w:val="auto"/>
        </w:rPr>
        <w:t>.</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Corporation may have additional offices at any place or places, within or outside the State of Delaware, as the Corporation’s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establish or as the business of the Corporation may require.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8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Special Meeting</w:t>
      </w:r>
      <w:r>
        <w:rPr>
          <w:rFonts w:ascii="Arial" w:cs="Arial" w:eastAsia="Arial" w:hAnsi="Arial"/>
          <w:sz w:val="16"/>
          <w:szCs w:val="16"/>
          <w:color w:val="auto"/>
        </w:rPr>
        <w:t>.</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Special meetings of the stockholders may be called, postponed, rescheduled or cancelled only by such persons and only in such manner as set forth in the Certificate of Incorporation.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business may be transacted at any special meeting of stockholders other than the business specified in the notice of such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Business to be Brought before a Meeting</w:t>
      </w:r>
      <w:r>
        <w:rPr>
          <w:rFonts w:ascii="Arial" w:cs="Arial" w:eastAsia="Arial" w:hAnsi="Arial"/>
          <w:sz w:val="18"/>
          <w:szCs w:val="18"/>
          <w:color w:val="auto"/>
        </w:rPr>
        <w:t>.</w:t>
      </w:r>
    </w:p>
    <w:p>
      <w:pPr>
        <w:spacing w:after="0" w:line="225" w:lineRule="exact"/>
        <w:rPr>
          <w:sz w:val="20"/>
          <w:szCs w:val="20"/>
          <w:color w:val="auto"/>
        </w:rPr>
      </w:pPr>
    </w:p>
    <w:p>
      <w:pPr>
        <w:ind w:left="340" w:firstLine="316"/>
        <w:spacing w:after="0" w:line="286" w:lineRule="auto"/>
        <w:tabs>
          <w:tab w:leader="none" w:pos="991"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(i) specified in a notice of meeting (or any supplement thereto) given by or at the direction of the Board, (ii) 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foregoing clause (iii) 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and this Section shall not be applicable to nominations except as expressly provided in Section 2.5 and Section 2.6.</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ind w:firstLine="316"/>
        <w:spacing w:after="0" w:line="269" w:lineRule="auto"/>
        <w:tabs>
          <w:tab w:leader="none" w:pos="679"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90 days nor more than 120 days prior to the one-year anniversary of the preceding year’s annual meeting (which, in the case of the first annual meeting of stockholders following the Effective Time (as defined in the Corporation’s Certification of Incorporation), the date of the preceding year’s annual meeting shall be deemed to be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(such notice within such time periods, “</w:t>
      </w:r>
      <w:r>
        <w:rPr>
          <w:rFonts w:ascii="Arial" w:cs="Arial" w:eastAsia="Arial" w:hAnsi="Arial"/>
          <w:sz w:val="17"/>
          <w:szCs w:val="17"/>
          <w:u w:val="single" w:color="auto"/>
          <w:color w:val="auto"/>
        </w:rPr>
        <w:t>Timely Notice</w:t>
      </w:r>
      <w:r>
        <w:rPr>
          <w:rFonts w:ascii="Arial" w:cs="Arial" w:eastAsia="Arial" w:hAnsi="Arial"/>
          <w:sz w:val="17"/>
          <w:szCs w:val="17"/>
          <w:color w:val="auto"/>
        </w:rPr>
        <w:t>”). In no event shall any adjournment or postponement of an annual meeting or the announcement thereof commence a new time period (or extend any time period) for the giving of Timely Notice as described above.</w:t>
      </w:r>
    </w:p>
    <w:p>
      <w:pPr>
        <w:spacing w:after="0" w:line="181" w:lineRule="exact"/>
        <w:rPr>
          <w:rFonts w:ascii="Arial" w:cs="Arial" w:eastAsia="Arial" w:hAnsi="Arial"/>
          <w:sz w:val="17"/>
          <w:szCs w:val="17"/>
          <w:color w:val="auto"/>
        </w:rPr>
      </w:pPr>
    </w:p>
    <w:p>
      <w:pPr>
        <w:ind w:left="700" w:hanging="38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2.4, a stockholder’s notice to the Secretary shall set forth:</w:t>
      </w:r>
    </w:p>
    <w:p>
      <w:pPr>
        <w:spacing w:after="0" w:line="225" w:lineRule="exact"/>
        <w:rPr>
          <w:rFonts w:ascii="Arial" w:cs="Arial" w:eastAsia="Arial" w:hAnsi="Arial"/>
          <w:sz w:val="18"/>
          <w:szCs w:val="18"/>
          <w:color w:val="auto"/>
        </w:rPr>
      </w:pPr>
    </w:p>
    <w:p>
      <w:pPr>
        <w:ind w:left="320" w:right="60" w:firstLine="320"/>
        <w:spacing w:after="0" w:line="273" w:lineRule="auto"/>
        <w:tabs>
          <w:tab w:leader="none" w:pos="1046" w:val="left"/>
        </w:tabs>
        <w:numPr>
          <w:ilvl w:val="1"/>
          <w:numId w:val="36"/>
        </w:numPr>
        <w:rPr>
          <w:rFonts w:ascii="Arial" w:cs="Arial" w:eastAsia="Arial" w:hAnsi="Arial"/>
          <w:sz w:val="17"/>
          <w:szCs w:val="17"/>
          <w:color w:val="auto"/>
        </w:rPr>
      </w:pPr>
      <w:r>
        <w:rPr>
          <w:rFonts w:ascii="Arial" w:cs="Arial" w:eastAsia="Arial" w:hAnsi="Arial"/>
          <w:sz w:val="17"/>
          <w:szCs w:val="17"/>
          <w:color w:val="auto"/>
        </w:rPr>
        <w:t>As to each Proposing Person (as defined below), (1) the name and address of such Proposing Person (including, if applicable, the name and address that appear on the Corporation’s books and records); and (2)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(1) and (2) are referred to as “</w:t>
      </w:r>
      <w:r>
        <w:rPr>
          <w:rFonts w:ascii="Arial" w:cs="Arial" w:eastAsia="Arial" w:hAnsi="Arial"/>
          <w:sz w:val="17"/>
          <w:szCs w:val="17"/>
          <w:u w:val="single" w:color="auto"/>
          <w:color w:val="auto"/>
        </w:rPr>
        <w:t>Stockholder Information</w:t>
      </w:r>
      <w:r>
        <w:rPr>
          <w:rFonts w:ascii="Arial" w:cs="Arial" w:eastAsia="Arial" w:hAnsi="Arial"/>
          <w:sz w:val="17"/>
          <w:szCs w:val="17"/>
          <w:color w:val="auto"/>
        </w:rPr>
        <w:t>”);</w:t>
      </w:r>
    </w:p>
    <w:p>
      <w:pPr>
        <w:spacing w:after="0" w:line="39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48" w:name="page49"/>
    <w:bookmarkEnd w:id="48"/>
    <w:p>
      <w:pPr>
        <w:ind w:left="660" w:right="60" w:firstLine="320"/>
        <w:spacing w:after="0" w:line="291" w:lineRule="auto"/>
        <w:tabs>
          <w:tab w:leader="none" w:pos="13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to each Proposing Person, (1) the full notional amount of any securities that, directly or indirectly, underlie any “derivative security” (as such term is defined in Rule 16a-1(c) under the Exchange Act) that constitutes a “call equivalent position” (as such term is defined in Rule</w:t>
      </w:r>
    </w:p>
    <w:p>
      <w:pPr>
        <w:ind w:left="660"/>
        <w:spacing w:after="0" w:line="283" w:lineRule="auto"/>
        <w:rPr>
          <w:rFonts w:ascii="Arial" w:cs="Arial" w:eastAsia="Arial" w:hAnsi="Arial"/>
          <w:sz w:val="16"/>
          <w:szCs w:val="16"/>
          <w:color w:val="auto"/>
        </w:rPr>
      </w:pPr>
      <w:r>
        <w:rPr>
          <w:rFonts w:ascii="Arial" w:cs="Arial" w:eastAsia="Arial" w:hAnsi="Arial"/>
          <w:sz w:val="16"/>
          <w:szCs w:val="16"/>
          <w:color w:val="auto"/>
        </w:rPr>
        <w:t>16a-1(b) under the Exchange Act) (“</w:t>
      </w:r>
      <w:r>
        <w:rPr>
          <w:rFonts w:ascii="Arial" w:cs="Arial" w:eastAsia="Arial" w:hAnsi="Arial"/>
          <w:sz w:val="16"/>
          <w:szCs w:val="16"/>
          <w:u w:val="single" w:color="auto"/>
          <w:color w:val="auto"/>
        </w:rPr>
        <w:t>Synthetic Equity Position</w:t>
      </w:r>
      <w:r>
        <w:rPr>
          <w:rFonts w:ascii="Arial" w:cs="Arial" w:eastAsia="Arial" w:hAnsi="Arial"/>
          <w:sz w:val="16"/>
          <w:szCs w:val="16"/>
          <w:color w:val="auto"/>
        </w:rPr>
        <w:t xml:space="preserve">”)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(2) any rights to dividends on the shares of any class or series of shares of the Corporation owned beneficially by such Proposing Person that are separated or separable from the underlying shares of the Corporation, (3) any material pending or threatened legal proceeding in which such Proposing Person is a party or material participant involving the Corporation or any of its officers or directors, or any affiliate of the Corporation, (4) any other material relationship between such Proposing Person, on the one hand, and the Corporation, any affiliate of the Corporation, on the other hand, (5) any direct or indirect material interest in any material contract or agreement of such Proposing Person with the Corporation or any affiliate of the Corporation (including, in any such case, any employment agreement, collective bargaining agreement or consulting agreement), (6)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(7)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(7) are referred to as “</w:t>
      </w:r>
      <w:r>
        <w:rPr>
          <w:rFonts w:ascii="Arial" w:cs="Arial" w:eastAsia="Arial" w:hAnsi="Arial"/>
          <w:sz w:val="16"/>
          <w:szCs w:val="16"/>
          <w:u w:val="single" w:color="auto"/>
          <w:color w:val="auto"/>
        </w:rPr>
        <w:t>Disclosable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77" w:lineRule="exact"/>
        <w:rPr>
          <w:rFonts w:ascii="Arial" w:cs="Arial" w:eastAsia="Arial" w:hAnsi="Arial"/>
          <w:sz w:val="16"/>
          <w:szCs w:val="16"/>
          <w:color w:val="auto"/>
        </w:rPr>
      </w:pPr>
    </w:p>
    <w:p>
      <w:pPr>
        <w:ind w:left="660" w:right="60" w:firstLine="320"/>
        <w:spacing w:after="0" w:line="268" w:lineRule="auto"/>
        <w:tabs>
          <w:tab w:leader="none" w:pos="138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of the Corporation, the language of the proposed amendment), (3)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 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disclosures required by this paragraph (c)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For purposes of this Section 2.4,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ind w:left="340" w:firstLine="316"/>
        <w:spacing w:after="0" w:line="268" w:lineRule="auto"/>
        <w:tabs>
          <w:tab w:leader="none" w:pos="10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6" w:lineRule="exact"/>
        <w:rPr>
          <w:rFonts w:ascii="Arial" w:cs="Arial" w:eastAsia="Arial" w:hAnsi="Arial"/>
          <w:sz w:val="17"/>
          <w:szCs w:val="17"/>
          <w:color w:val="auto"/>
        </w:rPr>
      </w:pPr>
    </w:p>
    <w:p>
      <w:pPr>
        <w:ind w:left="340" w:right="80" w:firstLine="316"/>
        <w:spacing w:after="0" w:line="254" w:lineRule="auto"/>
        <w:tabs>
          <w:tab w:leader="none" w:pos="10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2.4. The Board or chairperson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Notwithstanding the foregoing provisions of this Section 2.4, if the Proposing Person (or a qualified representative of the Proposing Person) does not appear at the annual meeting to present the proposed business, such proposed business shall not be transacted, notwithstanding that proxies in respect of such matter may have been received by the Corporation.</w:t>
      </w:r>
    </w:p>
    <w:p>
      <w:pPr>
        <w:spacing w:after="0" w:line="194" w:lineRule="exact"/>
        <w:rPr>
          <w:rFonts w:ascii="Arial" w:cs="Arial" w:eastAsia="Arial" w:hAnsi="Arial"/>
          <w:sz w:val="18"/>
          <w:szCs w:val="18"/>
          <w:color w:val="auto"/>
        </w:rPr>
      </w:pPr>
    </w:p>
    <w:p>
      <w:pPr>
        <w:ind w:left="340" w:right="40" w:firstLine="316"/>
        <w:spacing w:after="0" w:line="296" w:lineRule="auto"/>
        <w:tabs>
          <w:tab w:leader="none" w:pos="10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61" w:lineRule="exact"/>
        <w:rPr>
          <w:rFonts w:ascii="Arial" w:cs="Arial" w:eastAsia="Arial" w:hAnsi="Arial"/>
          <w:sz w:val="16"/>
          <w:szCs w:val="16"/>
          <w:color w:val="auto"/>
        </w:rPr>
      </w:pPr>
    </w:p>
    <w:p>
      <w:pPr>
        <w:ind w:left="340" w:right="40" w:firstLine="316"/>
        <w:spacing w:after="0" w:line="291" w:lineRule="auto"/>
        <w:tabs>
          <w:tab w:leader="none" w:pos="1064"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in a document publicly filed by the Corporation with the Securities and Exchange Commission pursuant to Sections 13, 14 or 15(d) of the Exchange Act or by such</w:t>
      </w:r>
    </w:p>
    <w:p>
      <w:pPr>
        <w:ind w:right="680"/>
        <w:spacing w:after="0" w:line="260" w:lineRule="auto"/>
        <w:rPr>
          <w:sz w:val="20"/>
          <w:szCs w:val="20"/>
          <w:color w:val="auto"/>
        </w:rPr>
      </w:pPr>
      <w:r>
        <w:rPr>
          <w:rFonts w:ascii="Arial" w:cs="Arial" w:eastAsia="Arial" w:hAnsi="Arial"/>
          <w:sz w:val="18"/>
          <w:szCs w:val="18"/>
          <w:color w:val="auto"/>
        </w:rPr>
        <w:t>other means as is reasonably designed to inform the public or securityholders of the Corporation in general of such information including, without limitation, posting on the Corporation’s investor relations website.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Nominations for Election to the Board of Directors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6" w:lineRule="auto"/>
        <w:tabs>
          <w:tab w:leader="none" w:pos="9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in all respects to the provisions of the Certificate of Incorporation,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(x) by or at the direction of the Board, including by any committee or persons authorized to do so by the Board or these bylaws, or (y)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Except as may be otherwise provided by the terms of one or more series of Preferred Stock with respect to the rights of holders of one or more series of Preferred Stock to elect directors, the foregoing clause (y) shall be the exclusive means for a stockholder to make any nomination of a person or persons for election to the Board at an annual meeting or special meeting.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0" w:name="page51"/>
    <w:bookmarkEnd w:id="50"/>
    <w:p>
      <w:pPr>
        <w:ind w:left="-40" w:firstLine="656"/>
        <w:spacing w:after="0" w:line="257" w:lineRule="auto"/>
        <w:tabs>
          <w:tab w:leader="none" w:pos="9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p>
    <w:p>
      <w:pPr>
        <w:spacing w:after="0" w:line="187" w:lineRule="exact"/>
        <w:rPr>
          <w:rFonts w:ascii="Arial" w:cs="Arial" w:eastAsia="Arial" w:hAnsi="Arial"/>
          <w:sz w:val="18"/>
          <w:szCs w:val="18"/>
          <w:color w:val="auto"/>
        </w:rPr>
      </w:pPr>
    </w:p>
    <w:p>
      <w:pPr>
        <w:ind w:left="-40" w:right="40" w:firstLine="656"/>
        <w:spacing w:after="0" w:line="253" w:lineRule="auto"/>
        <w:tabs>
          <w:tab w:leader="none" w:pos="9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Without qualification, if the election of directors is a matter specified in the notice of meeting given by or at the direction of the person calling a special meeting in accordance with the Certificate of Incorporation,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provide the information with respect to such stockholder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10th day following the day on which public disclosure (as defined in Section 2.4) of the date of such special meeting was first made.</w:t>
      </w:r>
    </w:p>
    <w:p>
      <w:pPr>
        <w:spacing w:after="0" w:line="196" w:lineRule="exact"/>
        <w:rPr>
          <w:rFonts w:ascii="Arial" w:cs="Arial" w:eastAsia="Arial" w:hAnsi="Arial"/>
          <w:sz w:val="18"/>
          <w:szCs w:val="18"/>
          <w:color w:val="auto"/>
        </w:rPr>
      </w:pPr>
    </w:p>
    <w:p>
      <w:pPr>
        <w:ind w:left="-40" w:right="160" w:firstLine="656"/>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70" w:lineRule="exact"/>
        <w:rPr>
          <w:rFonts w:ascii="Arial" w:cs="Arial" w:eastAsia="Arial" w:hAnsi="Arial"/>
          <w:sz w:val="18"/>
          <w:szCs w:val="18"/>
          <w:color w:val="auto"/>
        </w:rPr>
      </w:pPr>
    </w:p>
    <w:p>
      <w:pPr>
        <w:ind w:left="-40" w:right="20" w:firstLine="656"/>
        <w:spacing w:after="0" w:line="279" w:lineRule="auto"/>
        <w:tabs>
          <w:tab w:leader="none" w:pos="953"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Section 2.5(ii)(b), or (iii) the tenth day following the date of public disclosure (as defined in Section 2.4) of such increase.</w:t>
      </w:r>
    </w:p>
    <w:p>
      <w:pPr>
        <w:spacing w:after="0" w:line="171" w:lineRule="exact"/>
        <w:rPr>
          <w:rFonts w:ascii="Arial" w:cs="Arial" w:eastAsia="Arial" w:hAnsi="Arial"/>
          <w:sz w:val="17"/>
          <w:szCs w:val="17"/>
          <w:color w:val="auto"/>
        </w:rPr>
      </w:pPr>
    </w:p>
    <w:p>
      <w:pPr>
        <w:ind w:left="980" w:hanging="36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2.5, a stockholder’s notice to the Secretary shall set forth:</w:t>
      </w:r>
    </w:p>
    <w:p>
      <w:pPr>
        <w:spacing w:after="0" w:line="225" w:lineRule="exact"/>
        <w:rPr>
          <w:rFonts w:ascii="Arial" w:cs="Arial" w:eastAsia="Arial" w:hAnsi="Arial"/>
          <w:sz w:val="18"/>
          <w:szCs w:val="18"/>
          <w:color w:val="auto"/>
        </w:rPr>
      </w:pPr>
    </w:p>
    <w:p>
      <w:pPr>
        <w:ind w:left="620" w:right="120" w:firstLine="320"/>
        <w:spacing w:after="0" w:line="263" w:lineRule="auto"/>
        <w:tabs>
          <w:tab w:leader="none" w:pos="134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2.4(iii)(a), except that for purposes of this Section 2.5 the term “Nominating Person” shall be substituted for the term “Proposing Person” in all places it appears in Section 2.4(iii)(a));</w:t>
      </w:r>
    </w:p>
    <w:p>
      <w:pPr>
        <w:spacing w:after="0" w:line="183" w:lineRule="exact"/>
        <w:rPr>
          <w:rFonts w:ascii="Arial" w:cs="Arial" w:eastAsia="Arial" w:hAnsi="Arial"/>
          <w:sz w:val="18"/>
          <w:szCs w:val="18"/>
          <w:color w:val="auto"/>
        </w:rPr>
      </w:pPr>
    </w:p>
    <w:p>
      <w:pPr>
        <w:ind w:left="620" w:right="80" w:firstLine="320"/>
        <w:spacing w:after="0" w:line="259" w:lineRule="auto"/>
        <w:tabs>
          <w:tab w:leader="none" w:pos="13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2.4(iii)(b) shall be made with respect to the election of directors at the meeting);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1" w:name="page52"/>
    <w:bookmarkEnd w:id="51"/>
    <w:p>
      <w:pPr>
        <w:ind w:left="660" w:right="20" w:firstLine="320"/>
        <w:spacing w:after="0" w:line="287" w:lineRule="auto"/>
        <w:tabs>
          <w:tab w:leader="none" w:pos="13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6"/>
          <w:szCs w:val="16"/>
          <w:u w:val="single" w:color="auto"/>
          <w:color w:val="auto"/>
        </w:rPr>
        <w:t>Nominee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and (D) a completed and signed questionnaire, representation and agreement as provided in Section 2.6(i).</w:t>
      </w:r>
    </w:p>
    <w:p>
      <w:pPr>
        <w:spacing w:after="0" w:line="17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For purposes of this Section 2.5,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84" w:lineRule="exact"/>
        <w:rPr>
          <w:sz w:val="20"/>
          <w:szCs w:val="20"/>
          <w:color w:val="auto"/>
        </w:rPr>
      </w:pPr>
    </w:p>
    <w:p>
      <w:pPr>
        <w:ind w:right="40" w:firstLine="656"/>
        <w:spacing w:after="0" w:line="287" w:lineRule="auto"/>
        <w:tabs>
          <w:tab w:leader="none" w:pos="104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1" w:lineRule="exact"/>
        <w:rPr>
          <w:rFonts w:ascii="Arial" w:cs="Arial" w:eastAsia="Arial" w:hAnsi="Arial"/>
          <w:sz w:val="16"/>
          <w:szCs w:val="16"/>
          <w:color w:val="auto"/>
        </w:rPr>
      </w:pPr>
    </w:p>
    <w:p>
      <w:pPr>
        <w:ind w:right="500" w:firstLine="656"/>
        <w:spacing w:after="0" w:line="277" w:lineRule="auto"/>
        <w:tabs>
          <w:tab w:leader="none" w:pos="10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70"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Additional Requirements for Valid Nomination of Candidates to Serve as Director and, if Elected, to be Seated as Directors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9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a form provided by the Corporation)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(D) if elected as director of the Corporation, intends to serve the entire term until the next meeting at which such candidate would face re-election and (E) consents to being named as a nominee in the Corporation’s proxy statement pursuant to Rule 14a-4(d) under the Exchange Act and any associated proxy card of the Corporation and agrees to serve if elected as a director.</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ind w:left="-40" w:right="80" w:firstLine="656"/>
        <w:spacing w:after="0" w:line="259" w:lineRule="auto"/>
        <w:tabs>
          <w:tab w:leader="none" w:pos="9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w:t>
      </w:r>
    </w:p>
    <w:p>
      <w:pPr>
        <w:spacing w:after="0" w:line="186" w:lineRule="exact"/>
        <w:rPr>
          <w:rFonts w:ascii="Arial" w:cs="Arial" w:eastAsia="Arial" w:hAnsi="Arial"/>
          <w:sz w:val="18"/>
          <w:szCs w:val="18"/>
          <w:color w:val="auto"/>
        </w:rPr>
      </w:pPr>
    </w:p>
    <w:p>
      <w:pPr>
        <w:ind w:left="-40" w:firstLine="656"/>
        <w:spacing w:after="0" w:line="268" w:lineRule="auto"/>
        <w:tabs>
          <w:tab w:leader="none" w:pos="99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86" w:lineRule="exact"/>
        <w:rPr>
          <w:rFonts w:ascii="Arial" w:cs="Arial" w:eastAsia="Arial" w:hAnsi="Arial"/>
          <w:sz w:val="17"/>
          <w:szCs w:val="17"/>
          <w:color w:val="auto"/>
        </w:rPr>
      </w:pPr>
    </w:p>
    <w:p>
      <w:pPr>
        <w:ind w:left="-40" w:right="80" w:firstLine="656"/>
        <w:spacing w:after="0" w:line="290" w:lineRule="auto"/>
        <w:tabs>
          <w:tab w:leader="none" w:pos="1003"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Board or chairperson of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Notwithstanding the foregoing provisions of Section 2.5,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5" w:lineRule="exact"/>
        <w:rPr>
          <w:rFonts w:ascii="Arial" w:cs="Arial" w:eastAsia="Arial" w:hAnsi="Arial"/>
          <w:sz w:val="16"/>
          <w:szCs w:val="16"/>
          <w:color w:val="auto"/>
        </w:rPr>
      </w:pPr>
    </w:p>
    <w:p>
      <w:pPr>
        <w:ind w:left="-40" w:right="540" w:firstLine="656"/>
        <w:spacing w:after="0" w:line="277" w:lineRule="auto"/>
        <w:tabs>
          <w:tab w:leader="none" w:pos="9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Notice of Stockholders’ Meetings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of stockholders shall be sent or otherwise given in accordance with Section 8.1 of these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and the business transacted at such meeting shall be limited to the matters so stated in the notice of meeting (or any supplement thereto).</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2.10</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chairperson of each annual and special meeting shall be the Chairperson of the Board or, in the absence (or inability or refusal to act) of the Chairperson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of stockholders shall have the right and authority to convene and (for any or no reason) to recess and/or adjourn the meeting, to prescribe such rules, regulations and procedures (which need not be in writing) and to do all such acts as, in the judgment of the chairperson of the meeting,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The chairperson of the meeting,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chairperson of the meeting), shall, if the facts warrant, determine and declare to the meeting that a matter of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chairperson of the meeting. In the absence (or inability or refusal to act) of the Secretary and all Assistant Secretaries, the chairperson of the meeting may appoint any person to act as secretary of the meeting.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2.11</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Except as may be otherwise provided in the Certificate of Incorporation, these bylaws or the DGCL, each stockholder shall be entitled to one vote for each share of capital stock held by such stockholder.</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Except as otherwise provided by the Certificate of Incorporation and subject to the rights of the holders of one or more series of Preferred Stock, voting separately by class or series, to elect directors pursuant to the terms of one or more series of Preferred Stock,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2.12</w:t>
      </w:r>
      <w:r>
        <w:rPr>
          <w:rFonts w:ascii="Arial" w:cs="Arial" w:eastAsia="Arial" w:hAnsi="Arial"/>
          <w:sz w:val="18"/>
          <w:szCs w:val="18"/>
          <w:u w:val="single" w:color="auto"/>
          <w:color w:val="auto"/>
        </w:rPr>
        <w:t>Record Date for Stockholder Meetings and Other Purposes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2.13</w:t>
      </w:r>
      <w:r>
        <w:rPr>
          <w:rFonts w:ascii="Arial" w:cs="Arial" w:eastAsia="Arial" w:hAnsi="Arial"/>
          <w:sz w:val="18"/>
          <w:szCs w:val="18"/>
          <w:u w:val="single" w:color="auto"/>
          <w:color w:val="auto"/>
        </w:rPr>
        <w:t>Proxies</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proxy may be in the form of an electronic transmission that sets forth or is submitted with information from which it can be determined that the transmission was authorized by the stockholder.</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2.14</w:t>
      </w:r>
      <w:r>
        <w:rPr>
          <w:rFonts w:ascii="Arial" w:cs="Arial" w:eastAsia="Arial" w:hAnsi="Arial"/>
          <w:sz w:val="18"/>
          <w:szCs w:val="18"/>
          <w:u w:val="single" w:color="auto"/>
          <w:color w:val="auto"/>
        </w:rPr>
        <w:t>List of Stockholders Entitled to Vote.</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The Corporation shall prepare, at least 10 days before every meeting of stockholders, a complete list of the stockholders entitled to vote at the meeting (provided,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record date for determining the stockholders entitled to vote is less than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2.15</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inspectors shall:</w:t>
      </w:r>
    </w:p>
    <w:p>
      <w:pPr>
        <w:spacing w:after="0" w:line="23" w:lineRule="exact"/>
        <w:rPr>
          <w:sz w:val="20"/>
          <w:szCs w:val="20"/>
          <w:color w:val="auto"/>
        </w:rPr>
      </w:pPr>
    </w:p>
    <w:p>
      <w:pPr>
        <w:ind w:left="340" w:right="20" w:firstLine="316"/>
        <w:spacing w:after="0" w:line="260" w:lineRule="auto"/>
        <w:tabs>
          <w:tab w:leader="none" w:pos="10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number of shares outstanding and the voting power of each, the number of shares represented at the meeting and the validity of any proxies and ballots;</w:t>
      </w:r>
    </w:p>
    <w:p>
      <w:pPr>
        <w:spacing w:after="0" w:line="212" w:lineRule="exact"/>
        <w:rPr>
          <w:rFonts w:ascii="Arial" w:cs="Arial" w:eastAsia="Arial" w:hAnsi="Arial"/>
          <w:sz w:val="18"/>
          <w:szCs w:val="18"/>
          <w:color w:val="auto"/>
        </w:rPr>
      </w:pPr>
    </w:p>
    <w:p>
      <w:pPr>
        <w:ind w:left="1060" w:hanging="40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 all votes or ballots;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 and tabulate all votes;</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 and</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1060" w:hanging="404"/>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certify its or their determination of the number of shares represented at the meeting and its or their count of all votes and ballots.</w:t>
      </w:r>
    </w:p>
    <w:p>
      <w:pPr>
        <w:spacing w:after="0" w:line="237"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2.16</w:t>
      </w:r>
      <w:r>
        <w:rPr>
          <w:rFonts w:ascii="Arial" w:cs="Arial" w:eastAsia="Arial" w:hAnsi="Arial"/>
          <w:sz w:val="18"/>
          <w:szCs w:val="18"/>
          <w:u w:val="single" w:color="auto"/>
          <w:color w:val="auto"/>
        </w:rPr>
        <w:t>Delivery to the Corporation</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w:t>
      </w:r>
      <w:r>
        <w:rPr>
          <w:rFonts w:ascii="Arial" w:cs="Arial" w:eastAsia="Arial" w:hAnsi="Arial"/>
          <w:sz w:val="18"/>
          <w:szCs w:val="18"/>
          <w:color w:val="auto"/>
        </w:rPr>
        <w: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Except as otherwise provided by the Certificate of Incorporation or the DGCL, the business and affairs of the Corporation shall be managed by or under the direction of the Board.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Subject to the Certificate of Incorporation or any certificate of designation with respect to any series of Preferred Stock,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Election, Qualification and Term of Office of Directors</w:t>
      </w:r>
      <w:r>
        <w:rPr>
          <w:rFonts w:ascii="Arial" w:cs="Arial" w:eastAsia="Arial" w:hAnsi="Arial"/>
          <w:sz w:val="18"/>
          <w:szCs w:val="18"/>
          <w:color w:val="auto"/>
        </w:rPr>
        <w:t>.</w:t>
      </w:r>
    </w:p>
    <w:p>
      <w:pPr>
        <w:spacing w:after="0" w:line="225"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in accordance with the Certificate of Incorporation. Directors need not be stockholders. The Certificate of Incorporation or these bylaws may prescribe qualifications for directors.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Resignation and Vacancies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Place of Meetings; Meetings by Telephone</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7" w:name="page58"/>
    <w:bookmarkEnd w:id="57"/>
    <w:p>
      <w:pPr>
        <w:ind w:firstLine="324"/>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Special meetings of the Board for any purpose or purposes may be held within or outside the State of Delaware and called at any time by the Chairperson of the Board, the Chief Executive Officer, the President, the Secretary or a majority of the total number of directors constituting the Board.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sent by facsimile or electronic mail;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sent by other means of electronic transmission,</w:t>
      </w:r>
    </w:p>
    <w:p>
      <w:pPr>
        <w:spacing w:after="0" w:line="21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the notice is (i) delivered personally by hand, by courier or by telephone, (ii) sent by facsimile or electronic mail, or (iii) sent by other means of electronic transmission, it shall be delivered or sent at least 24 hours before the time of the holding of the meeting. If the notice is sent by U.S. mail, it shall be deposited in the U.S. mail at least four days before the time of the holding of the meeting. The notice need not specify the place of the meeting (if the meeting is to be held at the Corporation’s principal executive office) nor the purpose of the meeting.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Board Action without a Meeting</w:t>
      </w:r>
      <w:r>
        <w:rPr>
          <w:rFonts w:ascii="Arial" w:cs="Arial" w:eastAsia="Arial" w:hAnsi="Arial"/>
          <w:sz w:val="18"/>
          <w:szCs w:val="18"/>
          <w:color w:val="auto"/>
        </w:rPr>
        <w:t>.</w:t>
      </w:r>
    </w:p>
    <w:p>
      <w:pPr>
        <w:spacing w:after="0" w:line="21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3.10</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Meetings and Actions of Committees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3.5 (place of meetings; meetings by telephone);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3.7 (special meetings; notice);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3.9 (board action without a meeting);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7.14 (waiver of notice),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1020" w:hanging="364"/>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34"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Board or the chairperson of the applicable committee; and</w:t>
      </w:r>
    </w:p>
    <w:p>
      <w:pPr>
        <w:spacing w:after="0" w:line="20" w:lineRule="exact"/>
        <w:rPr>
          <w:rFonts w:ascii="Arial" w:cs="Arial" w:eastAsia="Arial" w:hAnsi="Arial"/>
          <w:sz w:val="17"/>
          <w:szCs w:val="17"/>
          <w:color w:val="auto"/>
        </w:rPr>
      </w:pPr>
    </w:p>
    <w:p>
      <w:pPr>
        <w:ind w:left="660" w:hanging="4"/>
        <w:spacing w:after="0" w:line="323" w:lineRule="auto"/>
        <w:tabs>
          <w:tab w:leader="none" w:pos="1146"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Board may adopt rules for the governance of any committee to override the provisions that would otherwise apply to the committee pursuant to this Section 4.2,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rules do not violate the provisions of the Certificate of Incorporation or applicable law.</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Subcommittees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the resolutions of the Board designating the committee or the charter of such committee adopted by the Board, a committee may create one or more subcommittees, each subcommittee to consist of one or more members of the committee, and delegate to a subcommittee any or all of the powers and authority of the committee.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officers of the Corporation shall include a Chief Executive Officer, a President and a Secretary.</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Corporation may also have, at the discretion of the Board, a Chairperson of the Board, a Vice Chairperson of the Board, a Chief Financial Officer, a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 5.3 of these bylaws.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Subordinate Officers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46"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vacancy occurring in any office of the Corporation shall be filled as provided in Section 5.2 or Section 5.3, as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Representation of Shares of Other Corporations</w:t>
      </w:r>
      <w:r>
        <w:rPr>
          <w:rFonts w:ascii="Arial" w:cs="Arial" w:eastAsia="Arial" w:hAnsi="Arial"/>
          <w:sz w:val="18"/>
          <w:szCs w:val="18"/>
          <w:color w:val="auto"/>
        </w:rPr>
        <w:t>.</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Records</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Article VII — General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Certificates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Special Designation of Certificates</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Lost Certificates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in addition to any other requirements as may be imposed by the Corporation,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Shares Without Certificates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Fiscal Year</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Seal</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7.10</w:t>
      </w:r>
      <w:r>
        <w:rPr>
          <w:rFonts w:ascii="Arial" w:cs="Arial" w:eastAsia="Arial" w:hAnsi="Arial"/>
          <w:sz w:val="18"/>
          <w:szCs w:val="18"/>
          <w:u w:val="single" w:color="auto"/>
          <w:color w:val="auto"/>
        </w:rPr>
        <w:t>Transfer of Stock</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Subject to the restrictions set forth in Section 7.12,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7.11</w:t>
      </w:r>
      <w:r>
        <w:rPr>
          <w:rFonts w:ascii="Arial" w:cs="Arial" w:eastAsia="Arial" w:hAnsi="Arial"/>
          <w:sz w:val="18"/>
          <w:szCs w:val="18"/>
          <w:u w:val="single" w:color="auto"/>
          <w:color w:val="auto"/>
        </w:rPr>
        <w:t>Stock Transfer Agreements</w:t>
      </w:r>
      <w:r>
        <w:rPr>
          <w:rFonts w:ascii="Arial" w:cs="Arial" w:eastAsia="Arial" w:hAnsi="Arial"/>
          <w:sz w:val="18"/>
          <w:szCs w:val="18"/>
          <w:color w:val="auto"/>
        </w:rPr>
        <w:t>.</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or other applicable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320"/>
        <w:spacing w:after="0"/>
        <w:rPr>
          <w:sz w:val="20"/>
          <w:szCs w:val="20"/>
          <w:color w:val="auto"/>
        </w:rPr>
      </w:pPr>
      <w:r>
        <w:rPr>
          <w:rFonts w:ascii="Arial" w:cs="Arial" w:eastAsia="Arial" w:hAnsi="Arial"/>
          <w:sz w:val="18"/>
          <w:szCs w:val="18"/>
          <w:color w:val="auto"/>
        </w:rPr>
        <w:t>7.12</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286" w:lineRule="auto"/>
        <w:tabs>
          <w:tab w:leader="none" w:pos="11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Section 7.12(ii), the holders (the “Lock-up Holders”) of common stock of the Corporation issued (a) as consideration pursuant to the merger of Orion Merger Sub I, Inc., a Delaware corporation (“First Merger Sub”), with and into TOI Parent Inc. (d/b/a The Oncology Institute), a Delaware corporation (“TOI Parent”), with TOI Parent surviving as a wholly owned subsidiary of the Corporation (the “First Merger”), and immediately thereafter and as part of the same overall transaction as the First Merger, the merger of TOI Parent with and into Orion Merger Sub II, LLC, a Delaware limited liability company (“Second Merger Sub”), with Second Merger Sub surviving as a wholly owned subsidiary of the Corporation (such merger, together with the First Merger, the “TOI Transaction”), (b) to directors, officers and employees of the Corporation, any subsidiary of the Corporation or any variable interest entity of the Corporation upon the settlement or exercise of restricted stock units, stock options or other equity awards outstanding as of immediately following the closing of the TOI Transaction in respect of awards of TOI Parent outstanding immediately prior to the closing of the TOI Transaction (such shares referred to in this Section 7.12(i)(b), the “TOI Parent Equity Award Shares”), or (c)(i) as Acquiror Class B Common Stock (as defined that certain Agreement and Plan of Merger, dated as of June 28, 2021, by and among the Corporation, First Merger Sub, Second Merger Sub and TOI Parent (as amended, restated, supplemented or otherwise modified from time to time, the “Merger Agreement”) prior to the TOI Transaction as well as any shares of the Corporation into which the Acquiror Class B Common Stock may be converted in connection with the TOI Transaction or (ii) in respect of any Acquiror Warrants (As defined in the Merger Agreement) originally issued to DFP Sponsor LLC and outstanding immediately prior to the closing of the TOI Transaction (such common stock of the Corporation referred to in clauses (a), (b) and (c) of this Section 7.12(i), the “Lock-up Shares”), and each Permitted Transferee may not Transfer any Lock-up Shares until the end of the Lock-up Period (the “Lock-up”).</w:t>
      </w:r>
    </w:p>
    <w:p>
      <w:pPr>
        <w:spacing w:after="0" w:line="383" w:lineRule="exact"/>
        <w:rPr>
          <w:rFonts w:ascii="Arial" w:cs="Arial" w:eastAsia="Arial" w:hAnsi="Arial"/>
          <w:sz w:val="16"/>
          <w:szCs w:val="16"/>
          <w:color w:val="auto"/>
        </w:rPr>
      </w:pPr>
    </w:p>
    <w:p>
      <w:pPr>
        <w:ind w:left="-20" w:right="40" w:firstLine="656"/>
        <w:spacing w:after="0" w:line="285" w:lineRule="auto"/>
        <w:tabs>
          <w:tab w:leader="none" w:pos="10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the provisions set forth in Section 7.12(i), each of the Lock-up Holders and their respective Permitted Transferees may Transfer the Lock-up Shares during the Lock-up Period (a) to (i) the Corporation’s officers or directors, (ii) any affiliates or family members of the Corporation’s officers or directors, or (iii) the other Lock-up Holders or any direct or indirect partners, members or equity holders of any Lock-up Holder, any affiliates of any Lock-up Holder, any director or employee of any Lock-up Holder or of any affiliate of any Lock-up Holder, or any related investment funds or vehicles controlled or managed by such persons or entities or their respective affiliates; (c) in the case of Lock-up Holder that is not an individual, through distributions to limited or general partners, members, managers, equity holders, stockholders or affiliates of such Lock-Up Holder or via the admission of new equity holders, partners, members or managers into any entity holding any of the Lock-Up Shares (c) in the case of an individual, by gift to a member of the individual’s immediate family or to a trust, the beneficiary of which is a member of the individual’s immediate family or an affiliate of such person or entity, or to a charitable organization; (d) in the case of an individual, by virtue of laws of descent and distribution upon death of the individual; (e) in the case of an individual, pursuant to a qualified domestic relations order; (f) in connection with any bona fide mortgage, encumbrance or pledge to a financial institution in connection with any bona fide loan or debt transaction or enforcement thereunder, including foreclosure thereof; (g) to the Corporation; (h) in connection with a liquidation, merger, stock exchange, reorganization, tender offer approved by the Board or a duly authorized committee thereof or other similar transaction which results in all of the Corporation’s stockholders having the right to exchange their shares of common stock for cash, securities or other property subsequent to the closing date of the TOI Transaction; or (i) in the case of any Pre-Closing Optionholder (as defined in the Merger Agreement), in order to satisfy any tax liability arising in connection with the vesting of the Optionholder Earnout Shares (as defined in the Merger Agreement) under Section 3.07(b) of the Merger Agreement, assuming the maximum federal,state and local income tax rates applicable to such Pre-Closing Optionholder and including all employee side employment taxes payable thereon.</w:t>
      </w:r>
    </w:p>
    <w:p>
      <w:pPr>
        <w:spacing w:after="0" w:line="173" w:lineRule="exact"/>
        <w:rPr>
          <w:rFonts w:ascii="Arial" w:cs="Arial" w:eastAsia="Arial" w:hAnsi="Arial"/>
          <w:sz w:val="16"/>
          <w:szCs w:val="16"/>
          <w:color w:val="auto"/>
        </w:rPr>
      </w:pPr>
    </w:p>
    <w:p>
      <w:pPr>
        <w:ind w:left="-20" w:right="420" w:firstLine="656"/>
        <w:spacing w:after="0" w:line="277"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the other provisions set forth in this Section 7.12, the Board may, in its sole discretion, determine to waive, amend, or repeal the Lock-up obligations set forth herein.</w:t>
      </w:r>
    </w:p>
    <w:p>
      <w:pPr>
        <w:spacing w:after="0" w:line="170" w:lineRule="exact"/>
        <w:rPr>
          <w:rFonts w:ascii="Arial" w:cs="Arial" w:eastAsia="Arial" w:hAnsi="Arial"/>
          <w:sz w:val="18"/>
          <w:szCs w:val="18"/>
          <w:color w:val="auto"/>
        </w:rPr>
      </w:pPr>
    </w:p>
    <w:p>
      <w:pPr>
        <w:ind w:left="1140" w:hanging="50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Section 7.12:</w:t>
      </w:r>
    </w:p>
    <w:p>
      <w:pPr>
        <w:spacing w:after="0" w:line="225" w:lineRule="exact"/>
        <w:rPr>
          <w:rFonts w:ascii="Arial" w:cs="Arial" w:eastAsia="Arial" w:hAnsi="Arial"/>
          <w:sz w:val="18"/>
          <w:szCs w:val="18"/>
          <w:color w:val="auto"/>
        </w:rPr>
      </w:pPr>
    </w:p>
    <w:p>
      <w:pPr>
        <w:ind w:left="-20" w:firstLine="980"/>
        <w:spacing w:after="0" w:line="259" w:lineRule="auto"/>
        <w:tabs>
          <w:tab w:leader="none" w:pos="13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means the period beginning on the closing date of the TOI Transaction and ending on the date that is 12 months after the closing date of the TOI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(i) 50% of the Lock-up Shares held by each Lock-up Holder will be released from lock-up six months after the closing date of the TOI Transaction and (ii) an additional 25% the Lock-up Shares held by each Lock-up Holder will be released from lock-up nine months after the closing date of the TOI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3" w:name="page64"/>
    <w:bookmarkEnd w:id="63"/>
    <w:p>
      <w:pPr>
        <w:ind w:right="80" w:firstLine="980"/>
        <w:spacing w:after="0" w:line="259" w:lineRule="auto"/>
        <w:tabs>
          <w:tab w:leader="none" w:pos="13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Lock-up Shares</w:t>
      </w:r>
      <w:r>
        <w:rPr>
          <w:rFonts w:ascii="Arial" w:cs="Arial" w:eastAsia="Arial" w:hAnsi="Arial"/>
          <w:sz w:val="18"/>
          <w:szCs w:val="18"/>
          <w:color w:val="auto"/>
        </w:rPr>
        <w:t>” does not include (i) any shares of common stock acquired in any underwritten offering or the public market, or in any public or private capital raising transaction of the Corporation after the date of the TOI Transaction or otherwise any shares of common stock of the Corporation (or other securities of the Corporation) other than the Lock-Up Shares or (ii) shares of common stock issued in connection with the PIPE Investment (as defined in the Merger Agreement);</w:t>
      </w:r>
    </w:p>
    <w:p>
      <w:pPr>
        <w:spacing w:after="0" w:line="186" w:lineRule="exact"/>
        <w:rPr>
          <w:rFonts w:ascii="Arial" w:cs="Arial" w:eastAsia="Arial" w:hAnsi="Arial"/>
          <w:sz w:val="18"/>
          <w:szCs w:val="18"/>
          <w:color w:val="auto"/>
        </w:rPr>
      </w:pPr>
    </w:p>
    <w:p>
      <w:pPr>
        <w:ind w:right="440" w:firstLine="980"/>
        <w:spacing w:after="0" w:line="342" w:lineRule="auto"/>
        <w:tabs>
          <w:tab w:leader="none" w:pos="137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Permitted Transferees</w:t>
      </w:r>
      <w:r>
        <w:rPr>
          <w:rFonts w:ascii="Arial" w:cs="Arial" w:eastAsia="Arial" w:hAnsi="Arial"/>
          <w:sz w:val="16"/>
          <w:szCs w:val="16"/>
          <w:color w:val="auto"/>
        </w:rPr>
        <w:t>” means, prior to the expiration of the Lock-up Period, any person or entity to whom such Lock-up Holder is permitted to transfer such shares of common stock prior to the expiration of the Lock-up Period pursuant to Section 7.12(ii); and</w:t>
      </w:r>
    </w:p>
    <w:p>
      <w:pPr>
        <w:spacing w:after="0" w:line="123" w:lineRule="exact"/>
        <w:rPr>
          <w:rFonts w:ascii="Arial" w:cs="Arial" w:eastAsia="Arial" w:hAnsi="Arial"/>
          <w:sz w:val="16"/>
          <w:szCs w:val="16"/>
          <w:color w:val="auto"/>
        </w:rPr>
      </w:pPr>
    </w:p>
    <w:p>
      <w:pPr>
        <w:ind w:right="120" w:firstLine="980"/>
        <w:spacing w:after="0" w:line="255" w:lineRule="auto"/>
        <w:tabs>
          <w:tab w:leader="none" w:pos="13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Transfer</w:t>
      </w:r>
      <w:r>
        <w:rPr>
          <w:rFonts w:ascii="Arial" w:cs="Arial" w:eastAsia="Arial" w:hAnsi="Arial"/>
          <w:sz w:val="18"/>
          <w:szCs w:val="18"/>
          <w:color w:val="auto"/>
        </w:rPr>
        <w:t>” means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7.13Registered Stockholders.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right="60" w:firstLine="656"/>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 and</w:t>
      </w:r>
    </w:p>
    <w:p>
      <w:pPr>
        <w:spacing w:after="0" w:line="170" w:lineRule="exact"/>
        <w:rPr>
          <w:rFonts w:ascii="Arial" w:cs="Arial" w:eastAsia="Arial" w:hAnsi="Arial"/>
          <w:sz w:val="18"/>
          <w:szCs w:val="18"/>
          <w:color w:val="auto"/>
        </w:rPr>
      </w:pPr>
    </w:p>
    <w:p>
      <w:pPr>
        <w:ind w:right="220" w:firstLine="656"/>
        <w:spacing w:after="0" w:line="277" w:lineRule="auto"/>
        <w:tabs>
          <w:tab w:leader="none" w:pos="10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7.14</w:t>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Notice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Delivery of Notice; Notice by Electronic Transmission</w:t>
      </w:r>
      <w:r>
        <w:rPr>
          <w:rFonts w:ascii="Arial" w:cs="Arial" w:eastAsia="Arial" w:hAnsi="Arial"/>
          <w:sz w:val="18"/>
          <w:szCs w:val="18"/>
          <w:color w:val="auto"/>
        </w:rPr>
        <w:t>.</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4" w:name="page65"/>
    <w:bookmarkEnd w:id="64"/>
    <w:p>
      <w:pPr>
        <w:ind w:right="20" w:firstLine="324"/>
        <w:spacing w:after="0" w:line="257" w:lineRule="auto"/>
        <w:rPr>
          <w:sz w:val="20"/>
          <w:szCs w:val="20"/>
          <w:color w:val="auto"/>
        </w:rPr>
      </w:pPr>
      <w:r>
        <w:rPr>
          <w:rFonts w:ascii="Arial" w:cs="Arial" w:eastAsia="Arial" w:hAnsi="Arial"/>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700" w:hanging="36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right="480" w:firstLine="332"/>
        <w:spacing w:after="0" w:line="277" w:lineRule="auto"/>
        <w:tabs>
          <w:tab w:leader="none" w:pos="7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 xml:space="preserve">Notwithstanding the foregoing, a notice may not be given by an electronic transmission from and after the time that (1) the Corporation is unable to deliver by such electronic transmission two consecutive notices given by the Corporation and (2) such inability becomes known to the Secretary or an Assistant Secretary of the Corporation or to the transfer agent, or other person responsible for the giving of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inadvertent failure to discover such inability shall not invalidate any meeting or other action.</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Indemnification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Power to Indemnify in Actions, Suits or Proceedings other than Those by or in the Right of the Corporation</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Section 9.3,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Power to Indemnify in Actions, Suits or Proceedings by or in the Right of the Corporation</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Subject to Section 9.3,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Authorization of Indemnification</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9.1 or Section 9.2,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Good Faith Defined</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For purposes of any determination under Section 9.3,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9.4 shall not be deemed to be exclusive or to limit in any way the circumstances in which a person may be deemed to have met the applicable standard of conduct set forth in Section 9.1 or 9.2, as the case may be.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Notwithstanding any contrary determination in the specific case under Section 9.3,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9.1 or 9.2. The basis of such indemnification by a court shall be a determination by such court that indemnification of the director or officer is proper in the circumstances because such person has met the applicable standard of conduct set forth in Section 9.1 or Section 9.2, as the case may be. Neither a contrary determination in the specific case under Section 9.3 nor the absence of any determination thereunder shall be a defense to such application or create a presumption that the director or officer seeking indemnification has not met any applicable standard of conduct. Notice of any application for indemnification pursuant to this Article IX shall be given to the Corporation promptly upon the filing of such application. If successful, in whole or in part, the director or officer seeking indemnification shall also be entitled to be paid the expense of prosecuting such application.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w:t>
      </w:r>
    </w:p>
    <w:p>
      <w:pPr>
        <w:spacing w:after="0" w:line="225"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former directors and officers or other employees and agents may be so paid upon such terms and conditions, if any, as the Corporation deems appropriate.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or 9.2 shall be made to the fullest extent permitted by law. The provisions of this Article IX shall not be deemed to preclude the indemnification of any person who is not specified in Section 9.1 or Section 9.2 but whom the Corporation has the power or obligation to indemnify under the provisions of the DGCL, or otherwise.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9.10</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indemnification and advancement of expenses provided by, or granted pursuant to, this Article IX shall, unless otherwise provided when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authorized or ratified, continue as to a person who has ceased to be a director or officer and shall inure to the benefit of the heirs, executors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administrators of such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color w:val="auto"/>
        </w:rPr>
        <w:t>9.11</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Notwithstanding anything contained in this Article IX to the contrary, except for proceedings to enforce rights to indemnification (which shall be governed by Section 9.5),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the Corporation.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9.12</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Corporation may, to the extent authorized from time to time by the Board, provide rights to indemnification and to the advancement of expenses to employees and agents of the Corporation similar to those conferred in this Article IX to directors and officers of the Corporation.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9.13</w:t>
      </w:r>
      <w:r>
        <w:rPr>
          <w:rFonts w:ascii="Arial" w:cs="Arial" w:eastAsia="Arial" w:hAnsi="Arial"/>
          <w:sz w:val="18"/>
          <w:szCs w:val="18"/>
          <w:u w:val="single" w:color="auto"/>
          <w:color w:val="auto"/>
        </w:rPr>
        <w:t>Primacy of Indemnification</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Notwithstanding that a director, officer, employee or agent of the Corporation (collectively, the “</w:t>
      </w:r>
      <w:r>
        <w:rPr>
          <w:rFonts w:ascii="Arial" w:cs="Arial" w:eastAsia="Arial" w:hAnsi="Arial"/>
          <w:sz w:val="17"/>
          <w:szCs w:val="17"/>
          <w:u w:val="single" w:color="auto"/>
          <w:color w:val="auto"/>
        </w:rPr>
        <w:t>Covered Persons</w:t>
      </w:r>
      <w:r>
        <w:rPr>
          <w:rFonts w:ascii="Arial" w:cs="Arial" w:eastAsia="Arial" w:hAnsi="Arial"/>
          <w:sz w:val="17"/>
          <w:szCs w:val="17"/>
          <w:color w:val="auto"/>
        </w:rPr>
        <w:t>”) may have certain rights to indemnification, advancement of expenses and/or insurance provided by other persons (collectively, the “</w:t>
      </w:r>
      <w:r>
        <w:rPr>
          <w:rFonts w:ascii="Arial" w:cs="Arial" w:eastAsia="Arial" w:hAnsi="Arial"/>
          <w:sz w:val="17"/>
          <w:szCs w:val="17"/>
          <w:u w:val="single" w:color="auto"/>
          <w:color w:val="auto"/>
        </w:rPr>
        <w:t>Other Indemnitors</w:t>
      </w:r>
      <w:r>
        <w:rPr>
          <w:rFonts w:ascii="Arial" w:cs="Arial" w:eastAsia="Arial" w:hAnsi="Arial"/>
          <w:sz w:val="17"/>
          <w:szCs w:val="17"/>
          <w:color w:val="auto"/>
        </w:rPr>
        <w:t>”), with respect to the rights to indemnification, advancement of expenses and/or insurance set forth herein, the Corporation: (i) shall be the indemnitor of first resort (i.e., its obligations to Covered Persons are primary and any obligation of the Other Indemnitors to advance expenses or to provide indemnification for the same expenses or liabilities incurred by Covered Persons are secondary); and (ii) shall be required to advance the full amount of expenses incurred by Covered Persons and shall be liable for the full amount of all liabilities, without regard to any rights Covered Persons may have against any of the Other Indemnitors. No advancement or payment by the Other Indemnitors on behalf of Covered Persons with respect to any claim for which Covered Persons have sought indemnification from the Corporation shall affect the immediately preceding sentence, and the Other Indemnitors shall have a right of contribution and/or be subrogated to the extent of such advancement or payment to all of the rights of recovery of Covered Persons against the Corporation. Notwithstanding anything to the contrary herein, the obligations of the Corporation under this Section 9.13 shall only apply to Covered Persons in their capacity as Covered Persons.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9.14</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Any repeal or amendment of this Article IX by the Board or the stockholders of the Corporation or by changes in applicable law, or the adoption of any other provision of these bylaws inconsistent with this Article IX,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The Board is expressly empowered to adopt, amend or repeal the bylaws of the Corporation. The stockholders also shall have power to adopt, amend or repeal the bylaws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 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firstLine="324"/>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mail</w:t>
      </w:r>
      <w:r>
        <w:rPr>
          <w:rFonts w:ascii="Arial" w:cs="Arial" w:eastAsia="Arial" w:hAnsi="Arial"/>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mail address</w:t>
      </w:r>
      <w:r>
        <w:rPr>
          <w:rFonts w:ascii="Arial" w:cs="Arial" w:eastAsia="Arial" w:hAnsi="Arial"/>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ONCOLOGY INSTITUTE, INC. 2021 INCENTIVE AWARD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PURPOSE</w:t>
      </w:r>
    </w:p>
    <w:p>
      <w:pPr>
        <w:spacing w:after="0" w:line="21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231F20"/>
        </w:rPr>
        <w:t>The Plan’s purpose is to enhance the Company’s and its Related Entities’ ability to attract, retain and motivate persons who make (or are expected to make) important contributions to the Company or its Related Entities by providing these individuals with equity ownership opportunities and/or equity-linked compensatory opportunities. Capitalized terms used in the Plan are defined in Article XI.</w:t>
      </w:r>
    </w:p>
    <w:p>
      <w:pPr>
        <w:spacing w:after="0" w:line="18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231F20"/>
        </w:rPr>
        <w:t>ARTICLE II.</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231F20"/>
        </w:rPr>
        <w:t>ELIGIBILITY</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231F20"/>
        </w:rPr>
        <w:t>Service Providers are eligible to be granted Awards under the Plan as determined by the Administrator from time to time, subject to the limitations described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ADMINISTRATION AND DELEGATION</w:t>
      </w:r>
    </w:p>
    <w:p>
      <w:pPr>
        <w:spacing w:after="0" w:line="2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231F20"/>
        </w:rPr>
        <w:t xml:space="preserve">3.1 </w:t>
      </w:r>
      <w:r>
        <w:rPr>
          <w:rFonts w:ascii="Arial" w:cs="Arial" w:eastAsia="Arial" w:hAnsi="Arial"/>
          <w:sz w:val="16"/>
          <w:szCs w:val="16"/>
          <w:u w:val="single" w:color="auto"/>
          <w:color w:val="231F20"/>
        </w:rPr>
        <w:t>Administration</w:t>
      </w:r>
      <w:r>
        <w:rPr>
          <w:rFonts w:ascii="Arial" w:cs="Arial" w:eastAsia="Arial" w:hAnsi="Arial"/>
          <w:sz w:val="16"/>
          <w:szCs w:val="16"/>
          <w:color w:val="231F20"/>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6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31F20"/>
        </w:rPr>
        <w:t xml:space="preserve">3.2 </w:t>
      </w:r>
      <w:r>
        <w:rPr>
          <w:rFonts w:ascii="Arial" w:cs="Arial" w:eastAsia="Arial" w:hAnsi="Arial"/>
          <w:sz w:val="17"/>
          <w:szCs w:val="17"/>
          <w:u w:val="single" w:color="auto"/>
          <w:color w:val="231F20"/>
        </w:rPr>
        <w:t>Appointment of Committees</w:t>
      </w:r>
      <w:r>
        <w:rPr>
          <w:rFonts w:ascii="Arial" w:cs="Arial" w:eastAsia="Arial" w:hAnsi="Arial"/>
          <w:sz w:val="17"/>
          <w:szCs w:val="17"/>
          <w:color w:val="231F20"/>
        </w:rPr>
        <w:t>. To the extent Applicable Laws permit, the Board or the Administrator may delegate any or all of its powers under the Plan to one or more Committees or committees of officers of the Company or any of its Related Entities. The Board or the Administrator, as applicable, may rescind any such delegation, abolish any such Committee or committee and/or re-vest in itself any previously delegated authority at any time. In no event shall any officer of the Company be delegated the authority to grant Awards to, or amend Awards held by, individuals who are subject to Section 16 of the Exchange Act or officers of the Company (or non-employee Directors) to whom the authority to grant or amend Awards has been delegated hereunder. In the event that the Administrator’s authority is delegated to officers or employees of the Company or any of its Related Entities in accordance with the foregoing, all provisions of the Plan relating to the Administrator shall be interpreted by treating any reference to the Administrator as a reference to such officers or employees. Any action undertaken in accordance with the Board’s or the Administrator’s delegation of authority hereunder shall have the same force and effect as if such action was undertaken directly by the Board or the Administrator and shall be deemed for all purposes of the Plan to have been taken by the Board or the Administrator (as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STOCK AVAILABLE FOR AWARDS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231F20"/>
        </w:rPr>
        <w:t xml:space="preserve">4.1 </w:t>
      </w:r>
      <w:r>
        <w:rPr>
          <w:rFonts w:ascii="Arial" w:cs="Arial" w:eastAsia="Arial" w:hAnsi="Arial"/>
          <w:sz w:val="18"/>
          <w:szCs w:val="18"/>
          <w:u w:val="single" w:color="auto"/>
          <w:color w:val="231F20"/>
        </w:rPr>
        <w:t>Number of Shares</w:t>
      </w:r>
      <w:r>
        <w:rPr>
          <w:rFonts w:ascii="Arial" w:cs="Arial" w:eastAsia="Arial" w:hAnsi="Arial"/>
          <w:sz w:val="18"/>
          <w:szCs w:val="18"/>
          <w:color w:val="231F20"/>
        </w:rPr>
        <w:t>. Subject to adjustment under Article VIII and the terms of this Article IV, the maximum number of Shares that may be issued pursuant to Awards under the Plan shall be equal to the Overall Share Limit. As of the Effective Date, no further awards may be granted under the Prior Plan; however, Prior Plan Awards will remain subject to the terms and conditions of the Prior Plan. Shares issued under the Plan may consist of authorized but unissued Shares, Shares purchased on the open market or treasury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ind w:right="20" w:firstLine="324"/>
        <w:spacing w:after="0" w:line="269" w:lineRule="auto"/>
        <w:rPr>
          <w:sz w:val="20"/>
          <w:szCs w:val="20"/>
          <w:color w:val="auto"/>
        </w:rPr>
      </w:pPr>
      <w:r>
        <w:rPr>
          <w:rFonts w:ascii="Arial" w:cs="Arial" w:eastAsia="Arial" w:hAnsi="Arial"/>
          <w:sz w:val="17"/>
          <w:szCs w:val="17"/>
          <w:color w:val="231F20"/>
        </w:rPr>
        <w:t xml:space="preserve">4.2 </w:t>
      </w:r>
      <w:r>
        <w:rPr>
          <w:rFonts w:ascii="Arial" w:cs="Arial" w:eastAsia="Arial" w:hAnsi="Arial"/>
          <w:sz w:val="17"/>
          <w:szCs w:val="17"/>
          <w:u w:val="single" w:color="auto"/>
          <w:color w:val="231F20"/>
        </w:rPr>
        <w:t>Share Recycling</w:t>
      </w:r>
      <w:r>
        <w:rPr>
          <w:rFonts w:ascii="Arial" w:cs="Arial" w:eastAsia="Arial" w:hAnsi="Arial"/>
          <w:sz w:val="17"/>
          <w:szCs w:val="17"/>
          <w:color w:val="231F20"/>
        </w:rPr>
        <w:t>. If all or any part of an Award or Prior Plan Award expires, lapses or is terminated, exchanged for or settled in cash, surrendered, repurchased, canceled without having been fully exercised/settled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In addition, Shares delivered (either by actual delivery or attestation) to the Company by a Participant to satisfy the applicable exercise or purchase price of an Award or Prior Plan Award and/or to satisfy any applicable tax withholding obligation with respect to 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 If any Optionholder Earnout Shares or Stockholder Earnout Shares are forfeited by reason of a Participant’s Termination of Service (and not because of the failure to satisfy the Share price conditions thereof), then such Optionholder Earnout Shares or Stockholder Earnout Shares, as applicable, shall become available for Award grants under the Plan.</w:t>
      </w:r>
    </w:p>
    <w:p>
      <w:pPr>
        <w:spacing w:after="0" w:line="1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231F20"/>
        </w:rPr>
        <w:t xml:space="preserve">4.3 </w:t>
      </w:r>
      <w:r>
        <w:rPr>
          <w:rFonts w:ascii="Arial" w:cs="Arial" w:eastAsia="Arial" w:hAnsi="Arial"/>
          <w:sz w:val="18"/>
          <w:szCs w:val="18"/>
          <w:u w:val="single" w:color="auto"/>
          <w:color w:val="231F20"/>
        </w:rPr>
        <w:t>Incentive Stock Option Limitations</w:t>
      </w:r>
      <w:r>
        <w:rPr>
          <w:rFonts w:ascii="Arial" w:cs="Arial" w:eastAsia="Arial" w:hAnsi="Arial"/>
          <w:sz w:val="18"/>
          <w:szCs w:val="18"/>
          <w:color w:val="231F20"/>
        </w:rPr>
        <w:t>. Subject to the Overall Share Limit, no more than a number of Shares equal to seven percent (7%) of the total number of shares of Common Stock outstanding on a fully diluted basis, as determined at the Effective Date may be issued pursuant to Incentive Stock Options granted under the Plan.</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231F20"/>
        </w:rPr>
        <w:t xml:space="preserve">4.4 </w:t>
      </w:r>
      <w:r>
        <w:rPr>
          <w:rFonts w:ascii="Arial" w:cs="Arial" w:eastAsia="Arial" w:hAnsi="Arial"/>
          <w:sz w:val="16"/>
          <w:szCs w:val="16"/>
          <w:u w:val="single" w:color="auto"/>
          <w:color w:val="231F20"/>
        </w:rPr>
        <w:t>Substitute Awards</w:t>
      </w:r>
      <w:r>
        <w:rPr>
          <w:rFonts w:ascii="Arial" w:cs="Arial" w:eastAsia="Arial" w:hAnsi="Arial"/>
          <w:sz w:val="16"/>
          <w:szCs w:val="16"/>
          <w:color w:val="231F20"/>
        </w:rPr>
        <w:t>. In connection with an entity’s merger or consolidation with the Company or any Related Entity or the Company’s or any Related Entity’s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Related Entity or with which the Company or any Related Entity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7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231F20"/>
        </w:rPr>
        <w:t xml:space="preserve">4.5 </w:t>
      </w:r>
      <w:r>
        <w:rPr>
          <w:rFonts w:ascii="Arial" w:cs="Arial" w:eastAsia="Arial" w:hAnsi="Arial"/>
          <w:sz w:val="17"/>
          <w:szCs w:val="17"/>
          <w:u w:val="single" w:color="auto"/>
          <w:color w:val="231F20"/>
        </w:rPr>
        <w:t>Non-Employee Director Compensation</w:t>
      </w:r>
      <w:r>
        <w:rPr>
          <w:rFonts w:ascii="Arial" w:cs="Arial" w:eastAsia="Arial" w:hAnsi="Arial"/>
          <w:sz w:val="17"/>
          <w:szCs w:val="17"/>
          <w:color w:val="231F20"/>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$625,000. The Administrator may make exceptions to these limits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 employee Directors.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231F20"/>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STOCK OPTIONS AND STOCK APPRECIATION RIGHTS</w:t>
      </w:r>
    </w:p>
    <w:p>
      <w:pPr>
        <w:spacing w:after="0" w:line="21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231F20"/>
        </w:rPr>
        <w:t xml:space="preserve">5.1 </w:t>
      </w:r>
      <w:r>
        <w:rPr>
          <w:rFonts w:ascii="Arial" w:cs="Arial" w:eastAsia="Arial" w:hAnsi="Arial"/>
          <w:sz w:val="18"/>
          <w:szCs w:val="18"/>
          <w:u w:val="single" w:color="auto"/>
          <w:color w:val="231F20"/>
        </w:rPr>
        <w:t>General</w:t>
      </w:r>
      <w:r>
        <w:rPr>
          <w:rFonts w:ascii="Arial" w:cs="Arial" w:eastAsia="Arial" w:hAnsi="Arial"/>
          <w:sz w:val="18"/>
          <w:szCs w:val="18"/>
          <w:color w:val="231F20"/>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9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231F20"/>
        </w:rPr>
        <w:t xml:space="preserve">5.2 </w:t>
      </w:r>
      <w:r>
        <w:rPr>
          <w:rFonts w:ascii="Arial" w:cs="Arial" w:eastAsia="Arial" w:hAnsi="Arial"/>
          <w:sz w:val="17"/>
          <w:szCs w:val="17"/>
          <w:u w:val="single" w:color="auto"/>
          <w:color w:val="231F20"/>
        </w:rPr>
        <w:t>Exercise Price</w:t>
      </w:r>
      <w:r>
        <w:rPr>
          <w:rFonts w:ascii="Arial" w:cs="Arial" w:eastAsia="Arial" w:hAnsi="Arial"/>
          <w:sz w:val="17"/>
          <w:szCs w:val="17"/>
          <w:color w:val="231F20"/>
        </w:rPr>
        <w:t>. The Administrator will establish each Option’s and Stock Appreciation Right’s exercise price and specify the exercise price in the Award Agreement. Unless otherwise determined by the Board,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shall be determined in accordance with the applicable requirements of Sections 424 and 409A of the Code (and for clarity, may be less than the Fair Market Value per Share on the date of grant if (to the extent applicable) permitted under Sections 424 and/or 409A of the Code).</w:t>
      </w:r>
    </w:p>
    <w:p>
      <w:pPr>
        <w:spacing w:after="0" w:line="17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231F20"/>
        </w:rPr>
        <w:t xml:space="preserve">5.3 </w:t>
      </w:r>
      <w:r>
        <w:rPr>
          <w:rFonts w:ascii="Arial" w:cs="Arial" w:eastAsia="Arial" w:hAnsi="Arial"/>
          <w:sz w:val="16"/>
          <w:szCs w:val="16"/>
          <w:u w:val="single" w:color="auto"/>
          <w:color w:val="231F20"/>
        </w:rPr>
        <w:t>Duration</w:t>
      </w:r>
      <w:r>
        <w:rPr>
          <w:rFonts w:ascii="Arial" w:cs="Arial" w:eastAsia="Arial" w:hAnsi="Arial"/>
          <w:sz w:val="16"/>
          <w:szCs w:val="16"/>
          <w:color w:val="231F20"/>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(other than an Incentive Stock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automatically extended until the date that is 30 days after the end of the legal prohibition, black-out period or lock-up agreement, as determined by the Company; provided, however, in no event shall the extension last beyond the ten year term (or any shorter maximum, if applicable)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Related Entities, the right of the Participant and the Participant’s transferees to exercise any Option or Stock Appreciation Right issued to the Participant shall terminate immediately upon such violation, unless the Company otherwise determines prior to such violation and/or sets forth in the Award Agreement.</w:t>
      </w:r>
    </w:p>
    <w:p>
      <w:pPr>
        <w:spacing w:after="0" w:line="17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231F20"/>
        </w:rPr>
        <w:t xml:space="preserve">5.4 </w:t>
      </w:r>
      <w:r>
        <w:rPr>
          <w:rFonts w:ascii="Arial" w:cs="Arial" w:eastAsia="Arial" w:hAnsi="Arial"/>
          <w:sz w:val="18"/>
          <w:szCs w:val="18"/>
          <w:u w:val="single" w:color="auto"/>
          <w:color w:val="231F20"/>
        </w:rPr>
        <w:t>Exercise</w:t>
      </w:r>
      <w:r>
        <w:rPr>
          <w:rFonts w:ascii="Arial" w:cs="Arial" w:eastAsia="Arial" w:hAnsi="Arial"/>
          <w:sz w:val="18"/>
          <w:szCs w:val="18"/>
          <w:color w:val="231F20"/>
        </w:rPr>
        <w:t>. Options and Stock Appreciation Rights may be exercised by delivering to the Company (or its Agent) a written notice of exercise, in a form the Administrator approves (which may be electronic and provided through the online platform maintained by an Agent),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right="180" w:firstLine="324"/>
        <w:spacing w:after="0" w:line="259" w:lineRule="auto"/>
        <w:rPr>
          <w:sz w:val="20"/>
          <w:szCs w:val="20"/>
          <w:color w:val="auto"/>
        </w:rPr>
      </w:pPr>
      <w:r>
        <w:rPr>
          <w:rFonts w:ascii="Arial" w:cs="Arial" w:eastAsia="Arial" w:hAnsi="Arial"/>
          <w:sz w:val="18"/>
          <w:szCs w:val="18"/>
          <w:color w:val="231F20"/>
        </w:rPr>
        <w:t xml:space="preserve">5.5 </w:t>
      </w:r>
      <w:r>
        <w:rPr>
          <w:rFonts w:ascii="Arial" w:cs="Arial" w:eastAsia="Arial" w:hAnsi="Arial"/>
          <w:sz w:val="18"/>
          <w:szCs w:val="18"/>
          <w:u w:val="single" w:color="auto"/>
          <w:color w:val="231F20"/>
        </w:rPr>
        <w:t>Payment Upon Exercise</w:t>
      </w:r>
      <w:r>
        <w:rPr>
          <w:rFonts w:ascii="Arial" w:cs="Arial" w:eastAsia="Arial" w:hAnsi="Arial"/>
          <w:sz w:val="18"/>
          <w:szCs w:val="18"/>
          <w:color w:val="231F20"/>
        </w:rPr>
        <w:t>. Subject to Section 10.8, any Company insider trading policy (including blackout periods) and Applicable Laws, the exercise price of an Option must be paid by online payment through the Agent’s electronic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87" w:lineRule="exact"/>
        <w:rPr>
          <w:sz w:val="20"/>
          <w:szCs w:val="20"/>
          <w:color w:val="auto"/>
        </w:rPr>
      </w:pPr>
    </w:p>
    <w:p>
      <w:pPr>
        <w:ind w:left="340" w:firstLine="316"/>
        <w:spacing w:after="0" w:line="277" w:lineRule="auto"/>
        <w:tabs>
          <w:tab w:leader="none" w:pos="931"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cash, wire transfer of immediately available funds or check payable to the order of the Company, provided that the Administrator may limit the use of one of the foregoing payment forms if one or more of the payment forms below is permitted;</w:t>
      </w:r>
    </w:p>
    <w:p>
      <w:pPr>
        <w:spacing w:after="0" w:line="170" w:lineRule="exact"/>
        <w:rPr>
          <w:rFonts w:ascii="Arial" w:cs="Arial" w:eastAsia="Arial" w:hAnsi="Arial"/>
          <w:sz w:val="18"/>
          <w:szCs w:val="18"/>
          <w:color w:val="231F20"/>
        </w:rPr>
      </w:pPr>
    </w:p>
    <w:p>
      <w:pPr>
        <w:ind w:left="340" w:right="20" w:firstLine="316"/>
        <w:spacing w:after="0" w:line="296" w:lineRule="auto"/>
        <w:tabs>
          <w:tab w:leader="none" w:pos="941" w:val="left"/>
        </w:tabs>
        <w:numPr>
          <w:ilvl w:val="0"/>
          <w:numId w:val="54"/>
        </w:numPr>
        <w:rPr>
          <w:rFonts w:ascii="Arial" w:cs="Arial" w:eastAsia="Arial" w:hAnsi="Arial"/>
          <w:sz w:val="16"/>
          <w:szCs w:val="16"/>
          <w:color w:val="231F20"/>
        </w:rPr>
      </w:pPr>
      <w:r>
        <w:rPr>
          <w:rFonts w:ascii="Arial" w:cs="Arial" w:eastAsia="Arial" w:hAnsi="Arial"/>
          <w:sz w:val="16"/>
          <w:szCs w:val="16"/>
          <w:color w:val="231F20"/>
        </w:rPr>
        <w:t>if there is a public market for Shares at the time of exercise, unless the Administrator otherwise determines, (A) delivery (including electronically or telephonically to the extent permitted by the Administrator) of an irrevocable and unconditional undertaking by a broker acceptable to the Administrator to deliver promptly to the Company sufficient funds to pay the exercise price, or (B) the Participant’s delivery to the Company of a copy of irrevocable and unconditional instructions to a broker acceptable to the Administrator to deliver promptly to the Company cash or a check sufficient to pay the exercise price; provided that such amount is paid to the Company at such time as may be required by the Administrator;</w:t>
      </w:r>
    </w:p>
    <w:p>
      <w:pPr>
        <w:spacing w:after="0" w:line="161" w:lineRule="exact"/>
        <w:rPr>
          <w:rFonts w:ascii="Arial" w:cs="Arial" w:eastAsia="Arial" w:hAnsi="Arial"/>
          <w:sz w:val="16"/>
          <w:szCs w:val="16"/>
          <w:color w:val="231F20"/>
        </w:rPr>
      </w:pPr>
    </w:p>
    <w:p>
      <w:pPr>
        <w:ind w:left="920" w:hanging="264"/>
        <w:spacing w:after="0"/>
        <w:tabs>
          <w:tab w:leader="none" w:pos="9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delivery (either by actual delivery or attestation) of Shares owned by the Participant valued at their Fair Market Value;</w:t>
      </w:r>
    </w:p>
    <w:p>
      <w:pPr>
        <w:spacing w:after="0" w:line="225" w:lineRule="exact"/>
        <w:rPr>
          <w:rFonts w:ascii="Arial" w:cs="Arial" w:eastAsia="Arial" w:hAnsi="Arial"/>
          <w:sz w:val="18"/>
          <w:szCs w:val="18"/>
          <w:color w:val="231F20"/>
        </w:rPr>
      </w:pPr>
    </w:p>
    <w:p>
      <w:pPr>
        <w:ind w:left="940" w:hanging="284"/>
        <w:spacing w:after="0"/>
        <w:tabs>
          <w:tab w:leader="none" w:pos="94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surrendering Shares then issuable upon the Option’s exercise valued at their Fair Market Value on the exercise date;</w:t>
      </w:r>
    </w:p>
    <w:p>
      <w:pPr>
        <w:spacing w:after="0" w:line="225" w:lineRule="exact"/>
        <w:rPr>
          <w:rFonts w:ascii="Arial" w:cs="Arial" w:eastAsia="Arial" w:hAnsi="Arial"/>
          <w:sz w:val="18"/>
          <w:szCs w:val="18"/>
          <w:color w:val="231F20"/>
        </w:rPr>
      </w:pPr>
    </w:p>
    <w:p>
      <w:pPr>
        <w:ind w:left="920" w:hanging="264"/>
        <w:spacing w:after="0"/>
        <w:tabs>
          <w:tab w:leader="none" w:pos="9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delivery of a promissory note or any other property that the Administrator determines is good and valuable consideration; or</w:t>
      </w:r>
    </w:p>
    <w:p>
      <w:pPr>
        <w:spacing w:after="0" w:line="225" w:lineRule="exact"/>
        <w:rPr>
          <w:rFonts w:ascii="Arial" w:cs="Arial" w:eastAsia="Arial" w:hAnsi="Arial"/>
          <w:sz w:val="18"/>
          <w:szCs w:val="18"/>
          <w:color w:val="231F20"/>
        </w:rPr>
      </w:pPr>
    </w:p>
    <w:p>
      <w:pPr>
        <w:ind w:left="940" w:hanging="284"/>
        <w:spacing w:after="0"/>
        <w:tabs>
          <w:tab w:leader="none" w:pos="94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any combination of the above payment forms approved by the Administrator.</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231F20"/>
        </w:rPr>
        <w:t xml:space="preserve">5.6 </w:t>
      </w:r>
      <w:r>
        <w:rPr>
          <w:rFonts w:ascii="Arial" w:cs="Arial" w:eastAsia="Arial" w:hAnsi="Arial"/>
          <w:sz w:val="16"/>
          <w:szCs w:val="16"/>
          <w:u w:val="single" w:color="auto"/>
          <w:color w:val="231F20"/>
        </w:rPr>
        <w:t>Additional Terms of Incentive Stock Options</w:t>
      </w:r>
      <w:r>
        <w:rPr>
          <w:rFonts w:ascii="Arial" w:cs="Arial" w:eastAsia="Arial" w:hAnsi="Arial"/>
          <w:sz w:val="16"/>
          <w:szCs w:val="16"/>
          <w:color w:val="231F20"/>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of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RESTRICTED STOCK; RESTRICTED STOCK UNITS</w:t>
      </w:r>
    </w:p>
    <w:p>
      <w:pPr>
        <w:spacing w:after="0" w:line="21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 xml:space="preserve">6.1 </w:t>
      </w:r>
      <w:r>
        <w:rPr>
          <w:rFonts w:ascii="Arial" w:cs="Arial" w:eastAsia="Arial" w:hAnsi="Arial"/>
          <w:sz w:val="18"/>
          <w:szCs w:val="18"/>
          <w:u w:val="single" w:color="auto"/>
          <w:color w:val="231F20"/>
        </w:rPr>
        <w:t>General</w:t>
      </w:r>
      <w:r>
        <w:rPr>
          <w:rFonts w:ascii="Arial" w:cs="Arial" w:eastAsia="Arial" w:hAnsi="Arial"/>
          <w:sz w:val="18"/>
          <w:szCs w:val="18"/>
          <w:color w:val="231F20"/>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Restricted Stock Units to any Service Provider,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231F20"/>
        </w:rPr>
        <w:t xml:space="preserve">6.2 </w:t>
      </w:r>
      <w:r>
        <w:rPr>
          <w:rFonts w:ascii="Arial" w:cs="Arial" w:eastAsia="Arial" w:hAnsi="Arial"/>
          <w:sz w:val="18"/>
          <w:szCs w:val="18"/>
          <w:u w:val="single" w:color="auto"/>
          <w:color w:val="231F20"/>
        </w:rPr>
        <w:t>Restricted Stock</w:t>
      </w:r>
      <w:r>
        <w:rPr>
          <w:rFonts w:ascii="Arial" w:cs="Arial" w:eastAsia="Arial" w:hAnsi="Arial"/>
          <w:sz w:val="18"/>
          <w:szCs w:val="18"/>
          <w:color w:val="231F20"/>
        </w:rPr>
        <w:t>.</w:t>
      </w:r>
    </w:p>
    <w:p>
      <w:pPr>
        <w:spacing w:after="0" w:line="225" w:lineRule="exact"/>
        <w:rPr>
          <w:sz w:val="20"/>
          <w:szCs w:val="20"/>
          <w:color w:val="auto"/>
        </w:rPr>
      </w:pPr>
    </w:p>
    <w:p>
      <w:pPr>
        <w:ind w:left="340" w:right="20" w:firstLine="316"/>
        <w:spacing w:after="0" w:line="271" w:lineRule="auto"/>
        <w:tabs>
          <w:tab w:leader="none" w:pos="931" w:val="left"/>
        </w:tabs>
        <w:numPr>
          <w:ilvl w:val="0"/>
          <w:numId w:val="55"/>
        </w:numPr>
        <w:rPr>
          <w:rFonts w:ascii="Arial" w:cs="Arial" w:eastAsia="Arial" w:hAnsi="Arial"/>
          <w:sz w:val="17"/>
          <w:szCs w:val="17"/>
          <w:color w:val="231F20"/>
        </w:rPr>
      </w:pPr>
      <w:r>
        <w:rPr>
          <w:rFonts w:ascii="Arial" w:cs="Arial" w:eastAsia="Arial" w:hAnsi="Arial"/>
          <w:sz w:val="17"/>
          <w:szCs w:val="17"/>
          <w:u w:val="single" w:color="auto"/>
          <w:color w:val="231F20"/>
        </w:rPr>
        <w:t>Dividends</w:t>
      </w:r>
      <w:r>
        <w:rPr>
          <w:rFonts w:ascii="Arial" w:cs="Arial" w:eastAsia="Arial" w:hAnsi="Arial"/>
          <w:sz w:val="17"/>
          <w:szCs w:val="17"/>
          <w:color w:val="231F20"/>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would be paid prior to vesting shall only be paid out to the Participant holding such Restricted Stock to the extent that the Restricted Stock vesting conditions are subsequently satisfied. All such dividend payments will be made no later than March 15 of the calendar year following the calendar year in which the right to the dividend payment becomes nonforfeitable.</w:t>
      </w:r>
    </w:p>
    <w:p>
      <w:pPr>
        <w:spacing w:after="0" w:line="178" w:lineRule="exact"/>
        <w:rPr>
          <w:rFonts w:ascii="Arial" w:cs="Arial" w:eastAsia="Arial" w:hAnsi="Arial"/>
          <w:sz w:val="17"/>
          <w:szCs w:val="17"/>
          <w:color w:val="231F20"/>
        </w:rPr>
      </w:pPr>
    </w:p>
    <w:p>
      <w:pPr>
        <w:ind w:left="340" w:right="120" w:firstLine="316"/>
        <w:spacing w:after="0" w:line="277" w:lineRule="auto"/>
        <w:tabs>
          <w:tab w:leader="none" w:pos="941" w:val="left"/>
        </w:tabs>
        <w:numPr>
          <w:ilvl w:val="0"/>
          <w:numId w:val="55"/>
        </w:numPr>
        <w:rPr>
          <w:rFonts w:ascii="Arial" w:cs="Arial" w:eastAsia="Arial" w:hAnsi="Arial"/>
          <w:sz w:val="18"/>
          <w:szCs w:val="18"/>
          <w:color w:val="231F20"/>
        </w:rPr>
      </w:pPr>
      <w:r>
        <w:rPr>
          <w:rFonts w:ascii="Arial" w:cs="Arial" w:eastAsia="Arial" w:hAnsi="Arial"/>
          <w:sz w:val="18"/>
          <w:szCs w:val="18"/>
          <w:u w:val="single" w:color="auto"/>
          <w:color w:val="231F20"/>
        </w:rPr>
        <w:t>Stock Certificates</w:t>
      </w:r>
      <w:r>
        <w:rPr>
          <w:rFonts w:ascii="Arial" w:cs="Arial" w:eastAsia="Arial" w:hAnsi="Arial"/>
          <w:sz w:val="18"/>
          <w:szCs w:val="18"/>
          <w:color w:val="231F20"/>
        </w:rPr>
        <w:t>. The Company may require that the Participant deposit in escrow with the Company (or its designee) any stock certificates issued in respect of Shares of Restricted Stock, together with a stock power endorsed in blank.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 xml:space="preserve">6.3 </w:t>
      </w:r>
      <w:r>
        <w:rPr>
          <w:rFonts w:ascii="Arial" w:cs="Arial" w:eastAsia="Arial" w:hAnsi="Arial"/>
          <w:sz w:val="18"/>
          <w:szCs w:val="18"/>
          <w:u w:val="single" w:color="auto"/>
          <w:color w:val="231F20"/>
        </w:rPr>
        <w:t>Restricted Stock Units.</w:t>
      </w:r>
    </w:p>
    <w:p>
      <w:pPr>
        <w:spacing w:after="0" w:line="225" w:lineRule="exact"/>
        <w:rPr>
          <w:sz w:val="20"/>
          <w:szCs w:val="20"/>
          <w:color w:val="auto"/>
        </w:rPr>
      </w:pPr>
    </w:p>
    <w:p>
      <w:pPr>
        <w:ind w:left="340" w:right="220" w:firstLine="316"/>
        <w:spacing w:after="0" w:line="263" w:lineRule="auto"/>
        <w:tabs>
          <w:tab w:leader="none" w:pos="931" w:val="left"/>
        </w:tabs>
        <w:numPr>
          <w:ilvl w:val="0"/>
          <w:numId w:val="56"/>
        </w:numPr>
        <w:rPr>
          <w:rFonts w:ascii="Arial" w:cs="Arial" w:eastAsia="Arial" w:hAnsi="Arial"/>
          <w:sz w:val="18"/>
          <w:szCs w:val="18"/>
          <w:color w:val="231F20"/>
        </w:rPr>
      </w:pPr>
      <w:r>
        <w:rPr>
          <w:rFonts w:ascii="Arial" w:cs="Arial" w:eastAsia="Arial" w:hAnsi="Arial"/>
          <w:sz w:val="18"/>
          <w:szCs w:val="18"/>
          <w:u w:val="single" w:color="auto"/>
          <w:color w:val="231F20"/>
        </w:rPr>
        <w:t>Settlement</w:t>
      </w:r>
      <w:r>
        <w:rPr>
          <w:rFonts w:ascii="Arial" w:cs="Arial" w:eastAsia="Arial" w:hAnsi="Arial"/>
          <w:sz w:val="18"/>
          <w:szCs w:val="18"/>
          <w:color w:val="231F20"/>
        </w:rPr>
        <w:t>. The Administrator shall provide in the Award Agreement that settlement of Restricted Stock Units will occur upon or as soon as reasonably practicable after the Restricted Stock Units vest or will instead be deferred, on a mandatory basis or at the Participant’s election, in a manner intended to comply with Section 409A (to the extent applicable).</w:t>
      </w:r>
    </w:p>
    <w:p>
      <w:pPr>
        <w:spacing w:after="0" w:line="183" w:lineRule="exact"/>
        <w:rPr>
          <w:rFonts w:ascii="Arial" w:cs="Arial" w:eastAsia="Arial" w:hAnsi="Arial"/>
          <w:sz w:val="18"/>
          <w:szCs w:val="18"/>
          <w:color w:val="231F20"/>
        </w:rPr>
      </w:pPr>
    </w:p>
    <w:p>
      <w:pPr>
        <w:ind w:left="340" w:right="200" w:firstLine="316"/>
        <w:spacing w:after="0" w:line="277" w:lineRule="auto"/>
        <w:tabs>
          <w:tab w:leader="none" w:pos="941" w:val="left"/>
        </w:tabs>
        <w:numPr>
          <w:ilvl w:val="0"/>
          <w:numId w:val="56"/>
        </w:numPr>
        <w:rPr>
          <w:rFonts w:ascii="Arial" w:cs="Arial" w:eastAsia="Arial" w:hAnsi="Arial"/>
          <w:sz w:val="18"/>
          <w:szCs w:val="18"/>
          <w:color w:val="231F20"/>
        </w:rPr>
      </w:pPr>
      <w:r>
        <w:rPr>
          <w:rFonts w:ascii="Arial" w:cs="Arial" w:eastAsia="Arial" w:hAnsi="Arial"/>
          <w:sz w:val="18"/>
          <w:szCs w:val="18"/>
          <w:u w:val="single" w:color="auto"/>
          <w:color w:val="231F20"/>
        </w:rPr>
        <w:t>Stockholder Rights</w:t>
      </w:r>
      <w:r>
        <w:rPr>
          <w:rFonts w:ascii="Arial" w:cs="Arial" w:eastAsia="Arial" w:hAnsi="Arial"/>
          <w:sz w:val="18"/>
          <w:szCs w:val="18"/>
          <w:color w:val="231F20"/>
        </w:rPr>
        <w:t>. A Participant will have no rights of a stockholder with respect to Shares subject to any Restricted Stock Unit unless and until the Shares are delivered in settlement of the Restricted Stock Unit.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OTHER STOCK OR CASH BASED AWARDS; DIVIDEND EQUIVALENTS</w:t>
      </w:r>
    </w:p>
    <w:p>
      <w:pPr>
        <w:spacing w:after="0" w:line="21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231F20"/>
        </w:rPr>
        <w:t xml:space="preserve">7.1 </w:t>
      </w:r>
      <w:r>
        <w:rPr>
          <w:rFonts w:ascii="Arial" w:cs="Arial" w:eastAsia="Arial" w:hAnsi="Arial"/>
          <w:sz w:val="17"/>
          <w:szCs w:val="17"/>
          <w:u w:val="single" w:color="auto"/>
          <w:color w:val="231F20"/>
        </w:rPr>
        <w:t>Other Stock or Cash Based Awards</w:t>
      </w:r>
      <w:r>
        <w:rPr>
          <w:rFonts w:ascii="Arial" w:cs="Arial" w:eastAsia="Arial" w:hAnsi="Arial"/>
          <w:sz w:val="17"/>
          <w:szCs w:val="17"/>
          <w:color w:val="231F20"/>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or any combination of the foregoing, as the Administrator determines. Subject to the provisions of the Plan, the Administrator will determine the terms and conditions of each Other Stock or Cash Based Award, including any purchase price, performance goal(s) (which may be based on the Performance Criteria),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18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 xml:space="preserve">7.2 </w:t>
      </w:r>
      <w:r>
        <w:rPr>
          <w:rFonts w:ascii="Arial" w:cs="Arial" w:eastAsia="Arial" w:hAnsi="Arial"/>
          <w:sz w:val="18"/>
          <w:szCs w:val="18"/>
          <w:u w:val="single" w:color="auto"/>
          <w:color w:val="231F20"/>
        </w:rPr>
        <w:t>Dividend Equivalents</w:t>
      </w:r>
      <w:r>
        <w:rPr>
          <w:rFonts w:ascii="Arial" w:cs="Arial" w:eastAsia="Arial" w:hAnsi="Arial"/>
          <w:sz w:val="18"/>
          <w:szCs w:val="18"/>
          <w:color w:val="231F20"/>
        </w:rPr>
        <w:t>. An Award may provide a Participant with the right to receive Dividend Equivalents. Dividend Equivalents may be settled in cash or Shares and subject to the same restrictions on transferability and forfeitability as the underlying Award with respect to which the Dividend Equivalents are paid and subject to other terms and conditions as set forth in the Award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ADJUSTMENTS FOR CHANGES IN COMMON STOCK AND CERTAIN OTHER EVENTS</w:t>
      </w:r>
    </w:p>
    <w:p>
      <w:pPr>
        <w:spacing w:after="0" w:line="21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231F20"/>
        </w:rPr>
        <w:t xml:space="preserve">8.1 </w:t>
      </w:r>
      <w:r>
        <w:rPr>
          <w:rFonts w:ascii="Arial" w:cs="Arial" w:eastAsia="Arial" w:hAnsi="Arial"/>
          <w:sz w:val="17"/>
          <w:szCs w:val="17"/>
          <w:u w:val="single" w:color="auto"/>
          <w:color w:val="231F20"/>
        </w:rPr>
        <w:t>Equity Restructuring</w:t>
      </w:r>
      <w:r>
        <w:rPr>
          <w:rFonts w:ascii="Arial" w:cs="Arial" w:eastAsia="Arial" w:hAnsi="Arial"/>
          <w:sz w:val="17"/>
          <w:szCs w:val="17"/>
          <w:color w:val="231F20"/>
        </w:rPr>
        <w:t>(a).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firstLine="324"/>
        <w:spacing w:after="0" w:line="287" w:lineRule="auto"/>
        <w:rPr>
          <w:sz w:val="20"/>
          <w:szCs w:val="20"/>
          <w:color w:val="auto"/>
        </w:rPr>
      </w:pPr>
      <w:r>
        <w:rPr>
          <w:rFonts w:ascii="Arial" w:cs="Arial" w:eastAsia="Arial" w:hAnsi="Arial"/>
          <w:sz w:val="16"/>
          <w:szCs w:val="16"/>
          <w:color w:val="231F20"/>
        </w:rPr>
        <w:t xml:space="preserve">8.2 </w:t>
      </w:r>
      <w:r>
        <w:rPr>
          <w:rFonts w:ascii="Arial" w:cs="Arial" w:eastAsia="Arial" w:hAnsi="Arial"/>
          <w:sz w:val="16"/>
          <w:szCs w:val="16"/>
          <w:u w:val="single" w:color="auto"/>
          <w:color w:val="231F20"/>
        </w:rPr>
        <w:t>Corporate Transactions</w:t>
      </w:r>
      <w:r>
        <w:rPr>
          <w:rFonts w:ascii="Arial" w:cs="Arial" w:eastAsia="Arial" w:hAnsi="Arial"/>
          <w:sz w:val="16"/>
          <w:szCs w:val="16"/>
          <w:color w:val="231F20"/>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of Control, issuance of warrants or other rights to purchase Common Stock or other securities of the Company outside of the Plan,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2" w:lineRule="exact"/>
        <w:rPr>
          <w:sz w:val="20"/>
          <w:szCs w:val="20"/>
          <w:color w:val="auto"/>
        </w:rPr>
      </w:pPr>
    </w:p>
    <w:p>
      <w:pPr>
        <w:ind w:left="340" w:right="60" w:firstLine="316"/>
        <w:spacing w:after="0" w:line="257" w:lineRule="auto"/>
        <w:tabs>
          <w:tab w:leader="none" w:pos="928"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7" w:lineRule="exact"/>
        <w:rPr>
          <w:rFonts w:ascii="Arial" w:cs="Arial" w:eastAsia="Arial" w:hAnsi="Arial"/>
          <w:sz w:val="18"/>
          <w:szCs w:val="18"/>
          <w:color w:val="231F20"/>
        </w:rPr>
      </w:pPr>
    </w:p>
    <w:p>
      <w:pPr>
        <w:ind w:left="340" w:right="160" w:firstLine="316"/>
        <w:spacing w:after="0" w:line="277" w:lineRule="auto"/>
        <w:tabs>
          <w:tab w:leader="none" w:pos="938"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231F20"/>
        </w:rPr>
      </w:pPr>
    </w:p>
    <w:p>
      <w:pPr>
        <w:ind w:left="340" w:right="80" w:firstLine="316"/>
        <w:spacing w:after="0" w:line="286" w:lineRule="auto"/>
        <w:tabs>
          <w:tab w:leader="none" w:pos="928" w:val="left"/>
        </w:tabs>
        <w:numPr>
          <w:ilvl w:val="0"/>
          <w:numId w:val="57"/>
        </w:numPr>
        <w:rPr>
          <w:rFonts w:ascii="Arial" w:cs="Arial" w:eastAsia="Arial" w:hAnsi="Arial"/>
          <w:sz w:val="17"/>
          <w:szCs w:val="17"/>
          <w:color w:val="231F20"/>
        </w:rPr>
      </w:pPr>
      <w:r>
        <w:rPr>
          <w:rFonts w:ascii="Arial" w:cs="Arial" w:eastAsia="Arial" w:hAnsi="Arial"/>
          <w:sz w:val="17"/>
          <w:szCs w:val="17"/>
          <w:color w:val="231F20"/>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5" w:lineRule="exact"/>
        <w:rPr>
          <w:rFonts w:ascii="Arial" w:cs="Arial" w:eastAsia="Arial" w:hAnsi="Arial"/>
          <w:sz w:val="17"/>
          <w:szCs w:val="17"/>
          <w:color w:val="231F20"/>
        </w:rPr>
      </w:pPr>
    </w:p>
    <w:p>
      <w:pPr>
        <w:ind w:left="340" w:right="120" w:firstLine="316"/>
        <w:spacing w:after="0" w:line="259" w:lineRule="auto"/>
        <w:tabs>
          <w:tab w:leader="none" w:pos="938"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86" w:lineRule="exact"/>
        <w:rPr>
          <w:rFonts w:ascii="Arial" w:cs="Arial" w:eastAsia="Arial" w:hAnsi="Arial"/>
          <w:sz w:val="18"/>
          <w:szCs w:val="18"/>
          <w:color w:val="231F20"/>
        </w:rPr>
      </w:pPr>
    </w:p>
    <w:p>
      <w:pPr>
        <w:ind w:left="980" w:hanging="324"/>
        <w:spacing w:after="0"/>
        <w:tabs>
          <w:tab w:leader="none" w:pos="98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To replace such Award with other rights or property selected by the Administrator; and/or</w:t>
      </w:r>
    </w:p>
    <w:p>
      <w:pPr>
        <w:spacing w:after="0" w:line="225" w:lineRule="exact"/>
        <w:rPr>
          <w:rFonts w:ascii="Arial" w:cs="Arial" w:eastAsia="Arial" w:hAnsi="Arial"/>
          <w:sz w:val="18"/>
          <w:szCs w:val="18"/>
          <w:color w:val="231F20"/>
        </w:rPr>
      </w:pPr>
    </w:p>
    <w:p>
      <w:pPr>
        <w:ind w:left="900" w:hanging="244"/>
        <w:spacing w:after="0"/>
        <w:tabs>
          <w:tab w:leader="none" w:pos="90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To provide that the Award will terminate and cannot vest, be exercised or become payable after the applicable event.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ind w:firstLine="324"/>
        <w:spacing w:after="0" w:line="286" w:lineRule="auto"/>
        <w:rPr>
          <w:sz w:val="20"/>
          <w:szCs w:val="20"/>
          <w:color w:val="auto"/>
        </w:rPr>
      </w:pPr>
      <w:r>
        <w:rPr>
          <w:rFonts w:ascii="Arial" w:cs="Arial" w:eastAsia="Arial" w:hAnsi="Arial"/>
          <w:sz w:val="16"/>
          <w:szCs w:val="16"/>
          <w:color w:val="231F20"/>
        </w:rPr>
        <w:t xml:space="preserve">8.3 </w:t>
      </w:r>
      <w:r>
        <w:rPr>
          <w:rFonts w:ascii="Arial" w:cs="Arial" w:eastAsia="Arial" w:hAnsi="Arial"/>
          <w:sz w:val="16"/>
          <w:szCs w:val="16"/>
          <w:u w:val="single" w:color="auto"/>
          <w:color w:val="231F20"/>
        </w:rPr>
        <w:t>Effect of Non-Assumption in a Change of Control</w:t>
      </w:r>
      <w:r>
        <w:rPr>
          <w:rFonts w:ascii="Arial" w:cs="Arial" w:eastAsia="Arial" w:hAnsi="Arial"/>
          <w:sz w:val="16"/>
          <w:szCs w:val="16"/>
          <w:color w:val="231F20"/>
        </w:rPr>
        <w:t>. Notwithstanding the provisions of Section 8.2, if a Change of Control occurs and a Participant’s Award is not continued, converted, assumed, or replaced with an award (which may include, without limitation, a cash-based award) with substantially the same value and a substantially similar vesting schedule as of such conversion by (a) the Company, or (b) a successor entity or its parent or subsidiary (an “</w:t>
      </w:r>
      <w:r>
        <w:rPr>
          <w:rFonts w:ascii="Arial" w:cs="Arial" w:eastAsia="Arial" w:hAnsi="Arial"/>
          <w:sz w:val="16"/>
          <w:szCs w:val="16"/>
          <w:b w:val="1"/>
          <w:bCs w:val="1"/>
          <w:i w:val="1"/>
          <w:iCs w:val="1"/>
          <w:color w:val="231F20"/>
        </w:rPr>
        <w:t>Assumption</w:t>
      </w:r>
      <w:r>
        <w:rPr>
          <w:rFonts w:ascii="Arial" w:cs="Arial" w:eastAsia="Arial" w:hAnsi="Arial"/>
          <w:sz w:val="16"/>
          <w:szCs w:val="16"/>
          <w:color w:val="231F20"/>
        </w:rPr>
        <w:t>”), and provided that the Participant has not had a Termination of Service, then, immediately prior to the Change of Control, such Award shall become fully vested and exercisable, as applicable, and all forfeiture, repurchase and other restrictions on such Award shall lapse, in which case, such Award shall be canceled upon the consummation of the Change of Control in exchange for the right to receive the Change of Control consideration payable to other holders of Common Stock (i) which may be on such terms and conditions as apply generally to holders of Common Stock under the Change of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price; provided that to the extent that any Award constitutes “nonqualified deferred compensation” that may not be paid upon the Change of Control under Section 409A (to the extent applicable to such Award) without the imposition of taxes thereon under Section 409A, the timing of such payments shall be governed by the applicable Award Agreement (subject to any deferred consideration provisions applicable under the Change of Control documents); and provided, further, that if the amount to which the Participant would be entitled upon the settlement or exercise of such Award at the time of the Change of Control is equal to or less than zero, then such Award may be terminated without payment. The Administrator shall have full and final authority to determine whether an Assumption of an Award has occurred in connection with a Change of Control.</w:t>
      </w:r>
    </w:p>
    <w:p>
      <w:pPr>
        <w:spacing w:after="0" w:line="167"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231F20"/>
        </w:rPr>
        <w:t xml:space="preserve">8.4 </w:t>
      </w:r>
      <w:r>
        <w:rPr>
          <w:rFonts w:ascii="Arial" w:cs="Arial" w:eastAsia="Arial" w:hAnsi="Arial"/>
          <w:sz w:val="16"/>
          <w:szCs w:val="16"/>
          <w:u w:val="single" w:color="auto"/>
          <w:color w:val="231F20"/>
        </w:rPr>
        <w:t>Administrative Stand Still</w:t>
      </w:r>
      <w:r>
        <w:rPr>
          <w:rFonts w:ascii="Arial" w:cs="Arial" w:eastAsia="Arial" w:hAnsi="Arial"/>
          <w:sz w:val="16"/>
          <w:szCs w:val="16"/>
          <w:color w:val="231F20"/>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31F20"/>
        </w:rPr>
        <w:t xml:space="preserve">8.5 </w:t>
      </w:r>
      <w:r>
        <w:rPr>
          <w:rFonts w:ascii="Arial" w:cs="Arial" w:eastAsia="Arial" w:hAnsi="Arial"/>
          <w:sz w:val="17"/>
          <w:szCs w:val="17"/>
          <w:u w:val="single" w:color="auto"/>
          <w:color w:val="231F20"/>
        </w:rPr>
        <w:t>General</w:t>
      </w:r>
      <w:r>
        <w:rPr>
          <w:rFonts w:ascii="Arial" w:cs="Arial" w:eastAsia="Arial" w:hAnsi="Arial"/>
          <w:sz w:val="17"/>
          <w:szCs w:val="17"/>
          <w:color w:val="231F20"/>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GENERAL PROVISIONS APPLICABLE TO AWARDS</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231F20"/>
        </w:rPr>
        <w:t xml:space="preserve">9.1 </w:t>
      </w:r>
      <w:r>
        <w:rPr>
          <w:rFonts w:ascii="Arial" w:cs="Arial" w:eastAsia="Arial" w:hAnsi="Arial"/>
          <w:sz w:val="17"/>
          <w:szCs w:val="17"/>
          <w:u w:val="single" w:color="auto"/>
          <w:color w:val="231F20"/>
        </w:rPr>
        <w:t>Transferability</w:t>
      </w:r>
      <w:r>
        <w:rPr>
          <w:rFonts w:ascii="Arial" w:cs="Arial" w:eastAsia="Arial" w:hAnsi="Arial"/>
          <w:sz w:val="17"/>
          <w:szCs w:val="17"/>
          <w:color w:val="231F20"/>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231F20"/>
        </w:rPr>
        <w:t xml:space="preserve">9.2 </w:t>
      </w:r>
      <w:r>
        <w:rPr>
          <w:rFonts w:ascii="Arial" w:cs="Arial" w:eastAsia="Arial" w:hAnsi="Arial"/>
          <w:sz w:val="18"/>
          <w:szCs w:val="18"/>
          <w:u w:val="single" w:color="auto"/>
          <w:color w:val="231F20"/>
        </w:rPr>
        <w:t>Documentation</w:t>
      </w:r>
      <w:r>
        <w:rPr>
          <w:rFonts w:ascii="Arial" w:cs="Arial" w:eastAsia="Arial" w:hAnsi="Arial"/>
          <w:sz w:val="18"/>
          <w:szCs w:val="18"/>
          <w:color w:val="231F20"/>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8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231F20"/>
        </w:rPr>
        <w:t xml:space="preserve">9.3 </w:t>
      </w:r>
      <w:r>
        <w:rPr>
          <w:rFonts w:ascii="Arial" w:cs="Arial" w:eastAsia="Arial" w:hAnsi="Arial"/>
          <w:sz w:val="16"/>
          <w:szCs w:val="16"/>
          <w:u w:val="single" w:color="auto"/>
          <w:color w:val="231F20"/>
        </w:rPr>
        <w:t>Discretion</w:t>
      </w:r>
      <w:r>
        <w:rPr>
          <w:rFonts w:ascii="Arial" w:cs="Arial" w:eastAsia="Arial" w:hAnsi="Arial"/>
          <w:sz w:val="16"/>
          <w:szCs w:val="16"/>
          <w:color w:val="231F20"/>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6" w:name="page77"/>
    <w:bookmarkEnd w:id="76"/>
    <w:p>
      <w:pPr>
        <w:ind w:right="200" w:firstLine="324"/>
        <w:spacing w:after="0" w:line="259" w:lineRule="auto"/>
        <w:rPr>
          <w:sz w:val="20"/>
          <w:szCs w:val="20"/>
          <w:color w:val="auto"/>
        </w:rPr>
      </w:pPr>
      <w:r>
        <w:rPr>
          <w:rFonts w:ascii="Arial" w:cs="Arial" w:eastAsia="Arial" w:hAnsi="Arial"/>
          <w:sz w:val="18"/>
          <w:szCs w:val="18"/>
          <w:color w:val="231F20"/>
        </w:rPr>
        <w:t xml:space="preserve">9.4 </w:t>
      </w:r>
      <w:r>
        <w:rPr>
          <w:rFonts w:ascii="Arial" w:cs="Arial" w:eastAsia="Arial" w:hAnsi="Arial"/>
          <w:sz w:val="18"/>
          <w:szCs w:val="18"/>
          <w:u w:val="single" w:color="auto"/>
          <w:color w:val="231F20"/>
        </w:rPr>
        <w:t>Termination of Status</w:t>
      </w:r>
      <w:r>
        <w:rPr>
          <w:rFonts w:ascii="Arial" w:cs="Arial" w:eastAsia="Arial" w:hAnsi="Arial"/>
          <w:sz w:val="18"/>
          <w:szCs w:val="18"/>
          <w:color w:val="231F20"/>
        </w:rPr>
        <w:t>. The Administrator will determine how a Participant’s Disability, death, retirement or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18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231F20"/>
        </w:rPr>
        <w:t xml:space="preserve">9.5 </w:t>
      </w:r>
      <w:r>
        <w:rPr>
          <w:rFonts w:ascii="Arial" w:cs="Arial" w:eastAsia="Arial" w:hAnsi="Arial"/>
          <w:sz w:val="16"/>
          <w:szCs w:val="16"/>
          <w:u w:val="single" w:color="auto"/>
          <w:color w:val="231F20"/>
        </w:rPr>
        <w:t>Withholding</w:t>
      </w:r>
      <w:r>
        <w:rPr>
          <w:rFonts w:ascii="Arial" w:cs="Arial" w:eastAsia="Arial" w:hAnsi="Arial"/>
          <w:sz w:val="16"/>
          <w:szCs w:val="16"/>
          <w:color w:val="231F20"/>
        </w:rPr>
        <w:t>. Each Participant must pay the Company, or make provision satisfactory to the Administrator for payment of, any taxes required by Applicable Law to be withheld in connection with such Participant’s Awards by the date of the event creating the tax liability. The Company or one of its Related Entities may deduct an amount sufficient to satisfy such tax obligations based on the applicable statutory withholding rates (or such other rate as may be determined by the Administrator after considering any accounting consequences or costs) from any payment of any kind otherwise due to a Participant. Subject to Section 10.8 and any Company insider trading policy (including blackout periods), Participants may satisfy such tax obligations through the Agent’s electronic platform or by wire transfer of immediately available funds to the Agent (or, in each case, if the Company has no Agent accepting payment, by wire transfer of immediately available funds to the Company) or, solely with the consent of the Administrator, by (i) cash, wire transfer of immediately available funds or check made payable to the order of the Company, provided that the Administrator may limit the use of the foregoing payment forms in its discretion, (ii) to the extent permitted by the Administrator, delivery of Shares (in whole or in part), including Shares delivered by attestation and Shares retained from the Award creating the tax obligation, valued at their Fair Market Value on the date of delivery, (iii) if there is a public market for Shares at the time the tax obligations are satisfied, unless the Administrator otherwise determines, (A) delivery (including electronically or telephonically to the extent permitted by the Administrator) of an irrevocable and unconditional undertaking by a broker acceptable to the Administrator to deliver promptly to the Company sufficient funds to satisfy the tax obligations, or (B) delivery by the Participant to the Company of a copy of irrevocable and unconditional instructions to a broker acceptable to the Administrator to deliver promptly to the Company cash or a check sufficient to satisfy the tax withholding; provided that such amount is paid to the Company at such time as may be required by the Administrator, or (iv) to the extent permitted by the Administrator,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for clarity, may be less than such maximum individual statutory tax rate if so determined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3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 xml:space="preserve">9.6 </w:t>
      </w:r>
      <w:r>
        <w:rPr>
          <w:rFonts w:ascii="Arial" w:cs="Arial" w:eastAsia="Arial" w:hAnsi="Arial"/>
          <w:sz w:val="17"/>
          <w:szCs w:val="17"/>
          <w:u w:val="single" w:color="auto"/>
          <w:color w:val="231F20"/>
        </w:rPr>
        <w:t>Amendment of Award; Repricing</w:t>
      </w:r>
      <w:r>
        <w:rPr>
          <w:rFonts w:ascii="Arial" w:cs="Arial" w:eastAsia="Arial" w:hAnsi="Arial"/>
          <w:sz w:val="17"/>
          <w:szCs w:val="17"/>
          <w:color w:val="231F20"/>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does not materially and adversely affect the Participant’s rights under the Award, or (ii) the change is permitted under Article VIII or pursuant to Sections 10.6 or 10.15. Notwithstanding the foregoing or anything in the Plan to the contrary, the Administrator may, without the approval of the stockholders of the Company, reduce the exercise price or base price per share of outstanding Options or Stock Appreciation Rights or cancel outstanding Options or Stock Appreciation Rights that have an exercise price or base price in excess of Fair Market Value in exchange for cash, other Awards or Options or Stock Appreciation Rights with an exercise price or base price per share that is less than the exercise price or base price per share of the original Options or Stock Appreciation Rights.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7" w:name="page78"/>
    <w:bookmarkEnd w:id="77"/>
    <w:p>
      <w:pPr>
        <w:ind w:firstLine="324"/>
        <w:spacing w:after="0" w:line="272" w:lineRule="auto"/>
        <w:rPr>
          <w:sz w:val="20"/>
          <w:szCs w:val="20"/>
          <w:color w:val="auto"/>
        </w:rPr>
      </w:pPr>
      <w:r>
        <w:rPr>
          <w:rFonts w:ascii="Arial" w:cs="Arial" w:eastAsia="Arial" w:hAnsi="Arial"/>
          <w:sz w:val="17"/>
          <w:szCs w:val="17"/>
          <w:color w:val="231F20"/>
        </w:rPr>
        <w:t xml:space="preserve">9.7 </w:t>
      </w:r>
      <w:r>
        <w:rPr>
          <w:rFonts w:ascii="Arial" w:cs="Arial" w:eastAsia="Arial" w:hAnsi="Arial"/>
          <w:sz w:val="17"/>
          <w:szCs w:val="17"/>
          <w:u w:val="single" w:color="auto"/>
          <w:color w:val="231F20"/>
        </w:rPr>
        <w:t>Conditions on Delivery of Stock</w:t>
      </w:r>
      <w:r>
        <w:rPr>
          <w:rFonts w:ascii="Arial" w:cs="Arial" w:eastAsia="Arial" w:hAnsi="Arial"/>
          <w:sz w:val="17"/>
          <w:szCs w:val="17"/>
          <w:color w:val="231F20"/>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231F20"/>
        </w:rPr>
        <w:t xml:space="preserve">9.8 </w:t>
      </w:r>
      <w:r>
        <w:rPr>
          <w:rFonts w:ascii="Arial" w:cs="Arial" w:eastAsia="Arial" w:hAnsi="Arial"/>
          <w:sz w:val="18"/>
          <w:szCs w:val="18"/>
          <w:u w:val="single" w:color="auto"/>
          <w:color w:val="231F20"/>
        </w:rPr>
        <w:t>Acceleration</w:t>
      </w:r>
      <w:r>
        <w:rPr>
          <w:rFonts w:ascii="Arial" w:cs="Arial" w:eastAsia="Arial" w:hAnsi="Arial"/>
          <w:sz w:val="18"/>
          <w:szCs w:val="18"/>
          <w:color w:val="231F20"/>
        </w:rPr>
        <w:t>. The Administrator may at any time provide that any Award will become immediately vested and fully or partially exercisable, free of some or all restrictions or conditions, or otherwise fully or partially realizable.</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231F20"/>
        </w:rPr>
        <w:t xml:space="preserve">9.9 </w:t>
      </w:r>
      <w:r>
        <w:rPr>
          <w:rFonts w:ascii="Arial" w:cs="Arial" w:eastAsia="Arial" w:hAnsi="Arial"/>
          <w:sz w:val="17"/>
          <w:szCs w:val="17"/>
          <w:u w:val="single" w:color="auto"/>
          <w:color w:val="231F20"/>
        </w:rPr>
        <w:t>Cash Settlement</w:t>
      </w:r>
      <w:r>
        <w:rPr>
          <w:rFonts w:ascii="Arial" w:cs="Arial" w:eastAsia="Arial" w:hAnsi="Arial"/>
          <w:sz w:val="17"/>
          <w:szCs w:val="17"/>
          <w:color w:val="231F20"/>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4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231F20"/>
        </w:rPr>
        <w:t xml:space="preserve">9.10 </w:t>
      </w:r>
      <w:r>
        <w:rPr>
          <w:rFonts w:ascii="Arial" w:cs="Arial" w:eastAsia="Arial" w:hAnsi="Arial"/>
          <w:sz w:val="17"/>
          <w:szCs w:val="17"/>
          <w:u w:val="single" w:color="auto"/>
          <w:color w:val="231F20"/>
        </w:rPr>
        <w:t>Broker-Assisted Sales</w:t>
      </w:r>
      <w:r>
        <w:rPr>
          <w:rFonts w:ascii="Arial" w:cs="Arial" w:eastAsia="Arial" w:hAnsi="Arial"/>
          <w:sz w:val="17"/>
          <w:szCs w:val="17"/>
          <w:color w:val="231F20"/>
        </w:rPr>
        <w:t xml:space="preserve"> 9.11. In the event of a broker-assisted sale of Shares in connection with the payment of amounts owed by a Participant under or with respect to the Plan or Awards, including amounts to be paid under the final sentence of Section 9.5: (i) any Shares to be sold through the broker- 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and its Related Entities harmless from any losses, costs, damages, or expenses relating to any such sale; (iv) to the extent the Company, its Related Entities or their designee receives proceeds of such sale that exceed the amount owed, the Company or its Related Entity will pay such excess in cash to the applicable Participant as soon as reasonably practicable; (v) the Company, its Related Entities and their designees are under no obligation to arrange for such sale at any particular price; and (vi) in the event the proceeds of such sale are insufficient to satisfy the Participant’s applicable obligation, the Participant may be required to pay immediately upon demand to the Company, its Related Entities or their designee an amount in cash sufficient to satisfy any remaining portion of the Participant’s obligation.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MISCELLANEOUS</w:t>
      </w:r>
    </w:p>
    <w:p>
      <w:pPr>
        <w:spacing w:after="0" w:line="2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231F20"/>
        </w:rPr>
        <w:t xml:space="preserve">10.1 </w:t>
      </w:r>
      <w:r>
        <w:rPr>
          <w:rFonts w:ascii="Arial" w:cs="Arial" w:eastAsia="Arial" w:hAnsi="Arial"/>
          <w:sz w:val="17"/>
          <w:szCs w:val="17"/>
          <w:u w:val="single" w:color="auto"/>
          <w:color w:val="231F20"/>
        </w:rPr>
        <w:t>No Right to Employment or Other Status</w:t>
      </w:r>
      <w:r>
        <w:rPr>
          <w:rFonts w:ascii="Arial" w:cs="Arial" w:eastAsia="Arial" w:hAnsi="Arial"/>
          <w:sz w:val="17"/>
          <w:szCs w:val="17"/>
          <w:color w:val="231F20"/>
        </w:rPr>
        <w:t>. No person will have any claim or right to be granted an Award, and the grant of an Award will not be construed as giving a Participant the right to continued employment or any other relationship with the Company or any of its Related Entities. The Company and its Related Entities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31F20"/>
        </w:rPr>
        <w:t xml:space="preserve">10.2 </w:t>
      </w:r>
      <w:r>
        <w:rPr>
          <w:rFonts w:ascii="Arial" w:cs="Arial" w:eastAsia="Arial" w:hAnsi="Arial"/>
          <w:sz w:val="17"/>
          <w:szCs w:val="17"/>
          <w:u w:val="single" w:color="auto"/>
          <w:color w:val="231F20"/>
        </w:rPr>
        <w:t>No Rights as Stockholder; Certificates</w:t>
      </w:r>
      <w:r>
        <w:rPr>
          <w:rFonts w:ascii="Arial" w:cs="Arial" w:eastAsia="Arial" w:hAnsi="Arial"/>
          <w:sz w:val="17"/>
          <w:szCs w:val="17"/>
          <w:color w:val="231F20"/>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231F20"/>
        </w:rPr>
        <w:t xml:space="preserve">10.3 </w:t>
      </w:r>
      <w:r>
        <w:rPr>
          <w:rFonts w:ascii="Arial" w:cs="Arial" w:eastAsia="Arial" w:hAnsi="Arial"/>
          <w:sz w:val="18"/>
          <w:szCs w:val="18"/>
          <w:u w:val="single" w:color="auto"/>
          <w:color w:val="231F20"/>
        </w:rPr>
        <w:t>Effective Date and Term of Plan</w:t>
      </w:r>
      <w:r>
        <w:rPr>
          <w:rFonts w:ascii="Arial" w:cs="Arial" w:eastAsia="Arial" w:hAnsi="Arial"/>
          <w:sz w:val="18"/>
          <w:szCs w:val="18"/>
          <w:color w:val="231F20"/>
        </w:rPr>
        <w:t>. The Plan will become effective on the closing of the transactions contemplated by the Merger Agreement (the “</w:t>
      </w:r>
      <w:r>
        <w:rPr>
          <w:rFonts w:ascii="Arial" w:cs="Arial" w:eastAsia="Arial" w:hAnsi="Arial"/>
          <w:sz w:val="18"/>
          <w:szCs w:val="18"/>
          <w:b w:val="1"/>
          <w:bCs w:val="1"/>
          <w:i w:val="1"/>
          <w:iCs w:val="1"/>
          <w:color w:val="231F20"/>
        </w:rPr>
        <w:t>Effective Date</w:t>
      </w:r>
      <w:r>
        <w:rPr>
          <w:rFonts w:ascii="Arial" w:cs="Arial" w:eastAsia="Arial" w:hAnsi="Arial"/>
          <w:sz w:val="18"/>
          <w:szCs w:val="18"/>
          <w:color w:val="231F20"/>
        </w:rPr>
        <w:t>”). Notwithstanding anything to the contrary in the Plan, an Incentive Stock Option may not be granted under the Plan after 10 years from the earlier of (i) the date the Board adopted the Plan or (ii) the date on which the Company’s stockholders approve the Plan, but Incentive Stock Options previously granted may remain outstanding after that date in accordance with the Plan. If the Plan is not approved by the Company’s stockholders, the Plan will not become effective and no Awards will be granted under the Plan.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8" w:name="page79"/>
    <w:bookmarkEnd w:id="78"/>
    <w:p>
      <w:pPr>
        <w:ind w:right="60" w:firstLine="324"/>
        <w:spacing w:after="0" w:line="273" w:lineRule="auto"/>
        <w:rPr>
          <w:sz w:val="20"/>
          <w:szCs w:val="20"/>
          <w:color w:val="auto"/>
        </w:rPr>
      </w:pPr>
      <w:r>
        <w:rPr>
          <w:rFonts w:ascii="Arial" w:cs="Arial" w:eastAsia="Arial" w:hAnsi="Arial"/>
          <w:sz w:val="17"/>
          <w:szCs w:val="17"/>
          <w:color w:val="231F20"/>
        </w:rPr>
        <w:t xml:space="preserve">10.4 </w:t>
      </w:r>
      <w:r>
        <w:rPr>
          <w:rFonts w:ascii="Arial" w:cs="Arial" w:eastAsia="Arial" w:hAnsi="Arial"/>
          <w:sz w:val="17"/>
          <w:szCs w:val="17"/>
          <w:u w:val="single" w:color="auto"/>
          <w:color w:val="231F20"/>
        </w:rPr>
        <w:t>Amendment of Plan</w:t>
      </w:r>
      <w:r>
        <w:rPr>
          <w:rFonts w:ascii="Arial" w:cs="Arial" w:eastAsia="Arial" w:hAnsi="Arial"/>
          <w:sz w:val="17"/>
          <w:szCs w:val="17"/>
          <w:color w:val="231F20"/>
        </w:rPr>
        <w:t>. The Board may amend, suspend or terminate the Plan at any time; provided that no amendment, other than (a) as permitted by the applicable Award Agreement, (b) as provided under Article VIII or Sections 10.6 or 10.15, or (c)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7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231F20"/>
        </w:rPr>
        <w:t xml:space="preserve">10.5 </w:t>
      </w:r>
      <w:r>
        <w:rPr>
          <w:rFonts w:ascii="Arial" w:cs="Arial" w:eastAsia="Arial" w:hAnsi="Arial"/>
          <w:sz w:val="18"/>
          <w:szCs w:val="18"/>
          <w:u w:val="single" w:color="auto"/>
          <w:color w:val="231F20"/>
        </w:rPr>
        <w:t>Provisions for Foreign Participants</w:t>
      </w:r>
      <w:r>
        <w:rPr>
          <w:rFonts w:ascii="Arial" w:cs="Arial" w:eastAsia="Arial" w:hAnsi="Arial"/>
          <w:sz w:val="18"/>
          <w:szCs w:val="18"/>
          <w:color w:val="231F20"/>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4"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10.6</w:t>
      </w:r>
      <w:r>
        <w:rPr>
          <w:sz w:val="20"/>
          <w:szCs w:val="20"/>
          <w:color w:val="auto"/>
        </w:rPr>
        <w:tab/>
      </w:r>
      <w:r>
        <w:rPr>
          <w:rFonts w:ascii="Arial" w:cs="Arial" w:eastAsia="Arial" w:hAnsi="Arial"/>
          <w:sz w:val="16"/>
          <w:szCs w:val="16"/>
          <w:u w:val="single" w:color="auto"/>
          <w:color w:val="231F20"/>
        </w:rPr>
        <w:t>Section 409A</w:t>
      </w:r>
      <w:r>
        <w:rPr>
          <w:rFonts w:ascii="Arial" w:cs="Arial" w:eastAsia="Arial" w:hAnsi="Arial"/>
          <w:sz w:val="16"/>
          <w:szCs w:val="16"/>
          <w:color w:val="231F20"/>
        </w:rPr>
        <w:t>.</w:t>
      </w:r>
    </w:p>
    <w:p>
      <w:pPr>
        <w:spacing w:after="0" w:line="225" w:lineRule="exact"/>
        <w:rPr>
          <w:sz w:val="20"/>
          <w:szCs w:val="20"/>
          <w:color w:val="auto"/>
        </w:rPr>
      </w:pPr>
    </w:p>
    <w:p>
      <w:pPr>
        <w:ind w:left="660" w:firstLine="320"/>
        <w:spacing w:after="0" w:line="286" w:lineRule="auto"/>
        <w:tabs>
          <w:tab w:leader="none" w:pos="1723" w:val="left"/>
        </w:tabs>
        <w:numPr>
          <w:ilvl w:val="0"/>
          <w:numId w:val="58"/>
        </w:numPr>
        <w:rPr>
          <w:rFonts w:ascii="Arial" w:cs="Arial" w:eastAsia="Arial" w:hAnsi="Arial"/>
          <w:sz w:val="16"/>
          <w:szCs w:val="16"/>
          <w:color w:val="231F20"/>
        </w:rPr>
      </w:pPr>
      <w:r>
        <w:rPr>
          <w:rFonts w:ascii="Arial" w:cs="Arial" w:eastAsia="Arial" w:hAnsi="Arial"/>
          <w:sz w:val="16"/>
          <w:szCs w:val="16"/>
          <w:u w:val="single" w:color="auto"/>
          <w:color w:val="231F20"/>
        </w:rPr>
        <w:t>General</w:t>
      </w:r>
      <w:r>
        <w:rPr>
          <w:rFonts w:ascii="Arial" w:cs="Arial" w:eastAsia="Arial" w:hAnsi="Arial"/>
          <w:sz w:val="16"/>
          <w:szCs w:val="16"/>
          <w:color w:val="231F20"/>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as compliant with Section 409A or as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73" w:lineRule="exact"/>
        <w:rPr>
          <w:rFonts w:ascii="Arial" w:cs="Arial" w:eastAsia="Arial" w:hAnsi="Arial"/>
          <w:sz w:val="16"/>
          <w:szCs w:val="16"/>
          <w:color w:val="231F20"/>
        </w:rPr>
      </w:pPr>
    </w:p>
    <w:p>
      <w:pPr>
        <w:ind w:left="660" w:right="140" w:firstLine="320"/>
        <w:spacing w:after="0" w:line="255" w:lineRule="auto"/>
        <w:tabs>
          <w:tab w:leader="none" w:pos="1733" w:val="left"/>
        </w:tabs>
        <w:numPr>
          <w:ilvl w:val="0"/>
          <w:numId w:val="58"/>
        </w:numPr>
        <w:rPr>
          <w:rFonts w:ascii="Arial" w:cs="Arial" w:eastAsia="Arial" w:hAnsi="Arial"/>
          <w:sz w:val="18"/>
          <w:szCs w:val="18"/>
          <w:color w:val="231F20"/>
        </w:rPr>
      </w:pPr>
      <w:r>
        <w:rPr>
          <w:rFonts w:ascii="Arial" w:cs="Arial" w:eastAsia="Arial" w:hAnsi="Arial"/>
          <w:sz w:val="18"/>
          <w:szCs w:val="18"/>
          <w:u w:val="single" w:color="auto"/>
          <w:color w:val="231F20"/>
        </w:rPr>
        <w:t>Separation from Service</w:t>
      </w:r>
      <w:r>
        <w:rPr>
          <w:rFonts w:ascii="Arial" w:cs="Arial" w:eastAsia="Arial" w:hAnsi="Arial"/>
          <w:sz w:val="18"/>
          <w:szCs w:val="18"/>
          <w:color w:val="231F20"/>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92" w:lineRule="exact"/>
        <w:rPr>
          <w:rFonts w:ascii="Arial" w:cs="Arial" w:eastAsia="Arial" w:hAnsi="Arial"/>
          <w:sz w:val="18"/>
          <w:szCs w:val="18"/>
          <w:color w:val="231F20"/>
        </w:rPr>
      </w:pPr>
    </w:p>
    <w:p>
      <w:pPr>
        <w:ind w:left="660" w:firstLine="320"/>
        <w:spacing w:after="0" w:line="271" w:lineRule="auto"/>
        <w:tabs>
          <w:tab w:leader="none" w:pos="1723" w:val="left"/>
        </w:tabs>
        <w:numPr>
          <w:ilvl w:val="0"/>
          <w:numId w:val="58"/>
        </w:numPr>
        <w:rPr>
          <w:rFonts w:ascii="Arial" w:cs="Arial" w:eastAsia="Arial" w:hAnsi="Arial"/>
          <w:sz w:val="17"/>
          <w:szCs w:val="17"/>
          <w:color w:val="231F20"/>
        </w:rPr>
      </w:pPr>
      <w:r>
        <w:rPr>
          <w:rFonts w:ascii="Arial" w:cs="Arial" w:eastAsia="Arial" w:hAnsi="Arial"/>
          <w:sz w:val="17"/>
          <w:szCs w:val="17"/>
          <w:u w:val="single" w:color="auto"/>
          <w:color w:val="231F20"/>
        </w:rPr>
        <w:t>Payments to Specified Employees</w:t>
      </w:r>
      <w:r>
        <w:rPr>
          <w:rFonts w:ascii="Arial" w:cs="Arial" w:eastAsia="Arial" w:hAnsi="Arial"/>
          <w:sz w:val="17"/>
          <w:szCs w:val="17"/>
          <w:color w:val="231F20"/>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(or following death) will be paid at the time or times the payments are otherwise scheduled to be made.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firstLine="324"/>
        <w:spacing w:after="0" w:line="271" w:lineRule="auto"/>
        <w:rPr>
          <w:sz w:val="20"/>
          <w:szCs w:val="20"/>
          <w:color w:val="auto"/>
        </w:rPr>
      </w:pPr>
      <w:r>
        <w:rPr>
          <w:rFonts w:ascii="Arial" w:cs="Arial" w:eastAsia="Arial" w:hAnsi="Arial"/>
          <w:sz w:val="17"/>
          <w:szCs w:val="17"/>
          <w:color w:val="231F20"/>
        </w:rPr>
        <w:t xml:space="preserve">10.7 </w:t>
      </w:r>
      <w:r>
        <w:rPr>
          <w:rFonts w:ascii="Arial" w:cs="Arial" w:eastAsia="Arial" w:hAnsi="Arial"/>
          <w:sz w:val="17"/>
          <w:szCs w:val="17"/>
          <w:u w:val="single" w:color="auto"/>
          <w:color w:val="231F20"/>
        </w:rPr>
        <w:t>Limitations on Liability</w:t>
      </w:r>
      <w:r>
        <w:rPr>
          <w:rFonts w:ascii="Arial" w:cs="Arial" w:eastAsia="Arial" w:hAnsi="Arial"/>
          <w:sz w:val="17"/>
          <w:szCs w:val="17"/>
          <w:color w:val="231F20"/>
        </w:rPr>
        <w:t>. Notwithstanding any other provisions of the Plan, no individual acting as a director, officer, other employee or agent of the Company or any Related Entity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Related Entity. The Company will indemnify and hold harmless each director, officer, other employee and agent of the Company or any Related Entity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231F20"/>
        </w:rPr>
        <w:t xml:space="preserve">10.8 </w:t>
      </w:r>
      <w:r>
        <w:rPr>
          <w:rFonts w:ascii="Arial" w:cs="Arial" w:eastAsia="Arial" w:hAnsi="Arial"/>
          <w:sz w:val="18"/>
          <w:szCs w:val="18"/>
          <w:u w:val="single" w:color="auto"/>
          <w:color w:val="231F20"/>
        </w:rPr>
        <w:t>Lock-Up Period</w:t>
      </w:r>
      <w:r>
        <w:rPr>
          <w:rFonts w:ascii="Arial" w:cs="Arial" w:eastAsia="Arial" w:hAnsi="Arial"/>
          <w:sz w:val="18"/>
          <w:szCs w:val="18"/>
          <w:color w:val="231F20"/>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87" w:lineRule="exact"/>
        <w:rPr>
          <w:sz w:val="20"/>
          <w:szCs w:val="20"/>
          <w:color w:val="auto"/>
        </w:rPr>
      </w:pPr>
    </w:p>
    <w:p>
      <w:pPr>
        <w:ind w:right="80" w:firstLine="324"/>
        <w:spacing w:after="0" w:line="267" w:lineRule="auto"/>
        <w:rPr>
          <w:sz w:val="20"/>
          <w:szCs w:val="20"/>
          <w:color w:val="auto"/>
        </w:rPr>
      </w:pPr>
      <w:r>
        <w:rPr>
          <w:rFonts w:ascii="Arial" w:cs="Arial" w:eastAsia="Arial" w:hAnsi="Arial"/>
          <w:sz w:val="17"/>
          <w:szCs w:val="17"/>
          <w:color w:val="231F20"/>
        </w:rPr>
        <w:t xml:space="preserve">10.9 </w:t>
      </w:r>
      <w:r>
        <w:rPr>
          <w:rFonts w:ascii="Arial" w:cs="Arial" w:eastAsia="Arial" w:hAnsi="Arial"/>
          <w:sz w:val="17"/>
          <w:szCs w:val="17"/>
          <w:u w:val="single" w:color="auto"/>
          <w:color w:val="231F20"/>
        </w:rPr>
        <w:t>Data Privacy</w:t>
      </w:r>
      <w:r>
        <w:rPr>
          <w:rFonts w:ascii="Arial" w:cs="Arial" w:eastAsia="Arial" w:hAnsi="Arial"/>
          <w:sz w:val="17"/>
          <w:szCs w:val="17"/>
          <w:color w:val="231F20"/>
        </w:rPr>
        <w:t>. As a condition for receiving any Award, each Participant explicitly and unambiguously consents to the collection, use and transfer, in electronic or other form, of personal data as described in this section by and among the Company and its Related Entities and affiliates exclusively for implementing, administering and managing the Participant’s participation in the Plan. The Company and its Related Entities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Related Entities and affiliates; and Award details, to implement, manage and administer the Plan and Awards (the “</w:t>
      </w:r>
      <w:r>
        <w:rPr>
          <w:rFonts w:ascii="Arial" w:cs="Arial" w:eastAsia="Arial" w:hAnsi="Arial"/>
          <w:sz w:val="17"/>
          <w:szCs w:val="17"/>
          <w:b w:val="1"/>
          <w:bCs w:val="1"/>
          <w:i w:val="1"/>
          <w:iCs w:val="1"/>
          <w:color w:val="231F20"/>
        </w:rPr>
        <w:t>Data</w:t>
      </w:r>
      <w:r>
        <w:rPr>
          <w:rFonts w:ascii="Arial" w:cs="Arial" w:eastAsia="Arial" w:hAnsi="Arial"/>
          <w:sz w:val="17"/>
          <w:szCs w:val="17"/>
          <w:color w:val="231F20"/>
        </w:rPr>
        <w:t>”). The Company and its Related Entities and affiliates may transfer the Data amongst themselves as necessary to implement, administer and manage a Participant’s participation in the Plan, and the Company and its Related Entities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and its Related Entities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231F20"/>
        </w:rPr>
        <w:t xml:space="preserve">10.10 </w:t>
      </w:r>
      <w:r>
        <w:rPr>
          <w:rFonts w:ascii="Arial" w:cs="Arial" w:eastAsia="Arial" w:hAnsi="Arial"/>
          <w:sz w:val="18"/>
          <w:szCs w:val="18"/>
          <w:u w:val="single" w:color="auto"/>
          <w:color w:val="231F20"/>
        </w:rPr>
        <w:t>Severability</w:t>
      </w:r>
      <w:r>
        <w:rPr>
          <w:rFonts w:ascii="Arial" w:cs="Arial" w:eastAsia="Arial" w:hAnsi="Arial"/>
          <w:sz w:val="18"/>
          <w:szCs w:val="18"/>
          <w:color w:val="231F20"/>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231F20"/>
        </w:rPr>
        <w:t xml:space="preserve">10.11 </w:t>
      </w:r>
      <w:r>
        <w:rPr>
          <w:rFonts w:ascii="Arial" w:cs="Arial" w:eastAsia="Arial" w:hAnsi="Arial"/>
          <w:sz w:val="18"/>
          <w:szCs w:val="18"/>
          <w:u w:val="single" w:color="auto"/>
          <w:color w:val="231F20"/>
        </w:rPr>
        <w:t>Governing Documents</w:t>
      </w:r>
      <w:r>
        <w:rPr>
          <w:rFonts w:ascii="Arial" w:cs="Arial" w:eastAsia="Arial" w:hAnsi="Arial"/>
          <w:sz w:val="18"/>
          <w:szCs w:val="18"/>
          <w:color w:val="231F20"/>
        </w:rPr>
        <w:t>. If any contradiction occurs between the Plan and any Award Agreement or other written agreement between a Participant and the Company (or any Related Entity) that the Administrator has approved, the Plan will govern, unless it is expressly specified in such Award Agreement or other written document that a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right="720" w:firstLine="324"/>
        <w:spacing w:after="0" w:line="308" w:lineRule="auto"/>
        <w:rPr>
          <w:sz w:val="20"/>
          <w:szCs w:val="20"/>
          <w:color w:val="auto"/>
        </w:rPr>
      </w:pPr>
      <w:r>
        <w:rPr>
          <w:rFonts w:ascii="Arial" w:cs="Arial" w:eastAsia="Arial" w:hAnsi="Arial"/>
          <w:sz w:val="17"/>
          <w:szCs w:val="17"/>
          <w:color w:val="231F20"/>
        </w:rPr>
        <w:t xml:space="preserve">10.12 </w:t>
      </w:r>
      <w:r>
        <w:rPr>
          <w:rFonts w:ascii="Arial" w:cs="Arial" w:eastAsia="Arial" w:hAnsi="Arial"/>
          <w:sz w:val="17"/>
          <w:szCs w:val="17"/>
          <w:u w:val="single" w:color="auto"/>
          <w:color w:val="231F20"/>
        </w:rPr>
        <w:t>Governing Law</w:t>
      </w:r>
      <w:r>
        <w:rPr>
          <w:rFonts w:ascii="Arial" w:cs="Arial" w:eastAsia="Arial" w:hAnsi="Arial"/>
          <w:sz w:val="17"/>
          <w:szCs w:val="17"/>
          <w:color w:val="231F20"/>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231F20"/>
        </w:rPr>
        <w:t xml:space="preserve">10.13 </w:t>
      </w:r>
      <w:r>
        <w:rPr>
          <w:rFonts w:ascii="Arial" w:cs="Arial" w:eastAsia="Arial" w:hAnsi="Arial"/>
          <w:sz w:val="18"/>
          <w:szCs w:val="18"/>
          <w:u w:val="single" w:color="auto"/>
          <w:color w:val="231F20"/>
        </w:rPr>
        <w:t>Claw-back Provisions</w:t>
      </w:r>
      <w:r>
        <w:rPr>
          <w:rFonts w:ascii="Arial" w:cs="Arial" w:eastAsia="Arial" w:hAnsi="Arial"/>
          <w:sz w:val="18"/>
          <w:szCs w:val="18"/>
          <w:color w:val="231F20"/>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 back policy or the Award Agreement.</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 xml:space="preserve">10.14 </w:t>
      </w:r>
      <w:r>
        <w:rPr>
          <w:rFonts w:ascii="Arial" w:cs="Arial" w:eastAsia="Arial" w:hAnsi="Arial"/>
          <w:sz w:val="18"/>
          <w:szCs w:val="18"/>
          <w:u w:val="single" w:color="auto"/>
          <w:color w:val="231F20"/>
        </w:rPr>
        <w:t>Titles and Headings</w:t>
      </w:r>
      <w:r>
        <w:rPr>
          <w:rFonts w:ascii="Arial" w:cs="Arial" w:eastAsia="Arial" w:hAnsi="Arial"/>
          <w:sz w:val="18"/>
          <w:szCs w:val="18"/>
          <w:color w:val="231F20"/>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231F20"/>
        </w:rPr>
        <w:t xml:space="preserve">10.15 </w:t>
      </w:r>
      <w:r>
        <w:rPr>
          <w:rFonts w:ascii="Arial" w:cs="Arial" w:eastAsia="Arial" w:hAnsi="Arial"/>
          <w:sz w:val="17"/>
          <w:szCs w:val="17"/>
          <w:u w:val="single" w:color="auto"/>
          <w:color w:val="231F20"/>
        </w:rPr>
        <w:t>Conformity to Securities Laws</w:t>
      </w:r>
      <w:r>
        <w:rPr>
          <w:rFonts w:ascii="Arial" w:cs="Arial" w:eastAsia="Arial" w:hAnsi="Arial"/>
          <w:sz w:val="17"/>
          <w:szCs w:val="17"/>
          <w:color w:val="231F20"/>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6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231F20"/>
        </w:rPr>
        <w:t xml:space="preserve">10.16 </w:t>
      </w:r>
      <w:r>
        <w:rPr>
          <w:rFonts w:ascii="Arial" w:cs="Arial" w:eastAsia="Arial" w:hAnsi="Arial"/>
          <w:sz w:val="18"/>
          <w:szCs w:val="18"/>
          <w:u w:val="single" w:color="auto"/>
          <w:color w:val="231F20"/>
        </w:rPr>
        <w:t>Unfunded Status of Awards.</w:t>
      </w:r>
      <w:r>
        <w:rPr>
          <w:rFonts w:ascii="Arial" w:cs="Arial" w:eastAsia="Arial" w:hAnsi="Arial"/>
          <w:sz w:val="18"/>
          <w:szCs w:val="18"/>
          <w:color w:val="231F20"/>
        </w:rPr>
        <w:t xml:space="preserve">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Related Entity.</w:t>
      </w:r>
    </w:p>
    <w:p>
      <w:pPr>
        <w:spacing w:after="0" w:line="184"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231F20"/>
        </w:rPr>
        <w:t xml:space="preserve">10.17 </w:t>
      </w:r>
      <w:r>
        <w:rPr>
          <w:rFonts w:ascii="Arial" w:cs="Arial" w:eastAsia="Arial" w:hAnsi="Arial"/>
          <w:sz w:val="18"/>
          <w:szCs w:val="18"/>
          <w:u w:val="single" w:color="auto"/>
          <w:color w:val="231F20"/>
        </w:rPr>
        <w:t>Relationship to Other Benefits</w:t>
      </w:r>
      <w:r>
        <w:rPr>
          <w:rFonts w:ascii="Arial" w:cs="Arial" w:eastAsia="Arial" w:hAnsi="Arial"/>
          <w:sz w:val="18"/>
          <w:szCs w:val="18"/>
          <w:color w:val="231F20"/>
        </w:rPr>
        <w:t>. No payment under the Plan will be taken into account in determining any benefits under any pension, retirement, savings, profit sharing, group insurance, welfare or other benefit plan of the Company or any Related Entity except as expressly provided in writing in such other plan or an agreement thereunder.</w:t>
      </w:r>
    </w:p>
    <w:p>
      <w:pPr>
        <w:spacing w:after="0" w:line="18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231F20"/>
        </w:rPr>
        <w:t>ARTICLE XI.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231F20"/>
        </w:rPr>
        <w:t>DEFINITIONS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As used in the Plan, the following words and phrases will have the following meanings:</w:t>
      </w:r>
    </w:p>
    <w:p>
      <w:pPr>
        <w:spacing w:after="0" w:line="225"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231F20"/>
        </w:rPr>
        <w:t>11.1 “</w:t>
      </w:r>
      <w:r>
        <w:rPr>
          <w:rFonts w:ascii="Arial" w:cs="Arial" w:eastAsia="Arial" w:hAnsi="Arial"/>
          <w:sz w:val="16"/>
          <w:szCs w:val="16"/>
          <w:b w:val="1"/>
          <w:bCs w:val="1"/>
          <w:i w:val="1"/>
          <w:iCs w:val="1"/>
          <w:color w:val="231F20"/>
        </w:rPr>
        <w:t>Administrator</w:t>
      </w:r>
      <w:r>
        <w:rPr>
          <w:rFonts w:ascii="Arial" w:cs="Arial" w:eastAsia="Arial" w:hAnsi="Arial"/>
          <w:sz w:val="16"/>
          <w:szCs w:val="16"/>
          <w:color w:val="231F20"/>
        </w:rPr>
        <w:t>” means the Board or a Committee to the extent that the Board’s powers or authority under the Plan have been delegated to such Committee.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14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231F20"/>
        </w:rPr>
        <w:t>11.2 “</w:t>
      </w:r>
      <w:r>
        <w:rPr>
          <w:rFonts w:ascii="Arial" w:cs="Arial" w:eastAsia="Arial" w:hAnsi="Arial"/>
          <w:sz w:val="18"/>
          <w:szCs w:val="18"/>
          <w:b w:val="1"/>
          <w:bCs w:val="1"/>
          <w:i w:val="1"/>
          <w:iCs w:val="1"/>
          <w:color w:val="231F20"/>
        </w:rPr>
        <w:t>Agent</w:t>
      </w:r>
      <w:r>
        <w:rPr>
          <w:rFonts w:ascii="Arial" w:cs="Arial" w:eastAsia="Arial" w:hAnsi="Arial"/>
          <w:sz w:val="18"/>
          <w:szCs w:val="18"/>
          <w:color w:val="231F20"/>
        </w:rPr>
        <w:t>” means the brokerage firm, bank or other financial institution, entity or person(s), if any, engaged, retained, appointed or authorized to act as the agent of the Company or a Participant with regard to the Plan.</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231F20"/>
        </w:rPr>
        <w:t>11.3 “</w:t>
      </w:r>
      <w:r>
        <w:rPr>
          <w:rFonts w:ascii="Arial" w:cs="Arial" w:eastAsia="Arial" w:hAnsi="Arial"/>
          <w:sz w:val="18"/>
          <w:szCs w:val="18"/>
          <w:b w:val="1"/>
          <w:bCs w:val="1"/>
          <w:i w:val="1"/>
          <w:iCs w:val="1"/>
          <w:color w:val="231F20"/>
        </w:rPr>
        <w:t>Applicable Laws</w:t>
      </w:r>
      <w:r>
        <w:rPr>
          <w:rFonts w:ascii="Arial" w:cs="Arial" w:eastAsia="Arial" w:hAnsi="Arial"/>
          <w:sz w:val="18"/>
          <w:szCs w:val="18"/>
          <w:color w:val="231F20"/>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11.4 “</w:t>
      </w:r>
      <w:r>
        <w:rPr>
          <w:rFonts w:ascii="Arial" w:cs="Arial" w:eastAsia="Arial" w:hAnsi="Arial"/>
          <w:sz w:val="18"/>
          <w:szCs w:val="18"/>
          <w:b w:val="1"/>
          <w:bCs w:val="1"/>
          <w:i w:val="1"/>
          <w:iCs w:val="1"/>
          <w:color w:val="231F20"/>
        </w:rPr>
        <w:t>Award</w:t>
      </w:r>
      <w:r>
        <w:rPr>
          <w:rFonts w:ascii="Arial" w:cs="Arial" w:eastAsia="Arial" w:hAnsi="Arial"/>
          <w:sz w:val="18"/>
          <w:szCs w:val="18"/>
          <w:color w:val="231F20"/>
        </w:rPr>
        <w:t>” means, individually or collectively, a grant under the Plan of Options, Stock Appreciation Rights, Restricted Stock, Restricted Stock Units, Dividend Equivalents, or Other Stock or Cash Based Awards.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right="160" w:firstLine="324"/>
        <w:spacing w:after="0" w:line="277" w:lineRule="auto"/>
        <w:rPr>
          <w:sz w:val="20"/>
          <w:szCs w:val="20"/>
          <w:color w:val="auto"/>
        </w:rPr>
      </w:pPr>
      <w:r>
        <w:rPr>
          <w:rFonts w:ascii="Arial" w:cs="Arial" w:eastAsia="Arial" w:hAnsi="Arial"/>
          <w:sz w:val="18"/>
          <w:szCs w:val="18"/>
          <w:color w:val="231F20"/>
        </w:rPr>
        <w:t>11.5 “</w:t>
      </w:r>
      <w:r>
        <w:rPr>
          <w:rFonts w:ascii="Arial" w:cs="Arial" w:eastAsia="Arial" w:hAnsi="Arial"/>
          <w:sz w:val="18"/>
          <w:szCs w:val="18"/>
          <w:b w:val="1"/>
          <w:bCs w:val="1"/>
          <w:i w:val="1"/>
          <w:iCs w:val="1"/>
          <w:color w:val="231F20"/>
        </w:rPr>
        <w:t>Award Agreement</w:t>
      </w:r>
      <w:r>
        <w:rPr>
          <w:rFonts w:ascii="Arial" w:cs="Arial" w:eastAsia="Arial" w:hAnsi="Arial"/>
          <w:sz w:val="18"/>
          <w:szCs w:val="18"/>
          <w:color w:val="231F20"/>
        </w:rPr>
        <w:t>” means a written agreement evidencing an Award, which may be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11.6</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Board</w:t>
      </w:r>
      <w:r>
        <w:rPr>
          <w:rFonts w:ascii="Arial" w:cs="Arial" w:eastAsia="Arial" w:hAnsi="Arial"/>
          <w:sz w:val="16"/>
          <w:szCs w:val="16"/>
          <w:color w:val="231F20"/>
        </w:rPr>
        <w:t>” means the Board of Directors of the Company.</w:t>
      </w:r>
    </w:p>
    <w:p>
      <w:pPr>
        <w:spacing w:after="0" w:line="225"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11.7</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Change of Control</w:t>
      </w:r>
      <w:r>
        <w:rPr>
          <w:rFonts w:ascii="Arial" w:cs="Arial" w:eastAsia="Arial" w:hAnsi="Arial"/>
          <w:sz w:val="16"/>
          <w:szCs w:val="16"/>
          <w:color w:val="231F20"/>
        </w:rPr>
        <w:t>” means and includes each of the following:</w:t>
      </w:r>
    </w:p>
    <w:p>
      <w:pPr>
        <w:spacing w:after="0" w:line="225" w:lineRule="exact"/>
        <w:rPr>
          <w:sz w:val="20"/>
          <w:szCs w:val="20"/>
          <w:color w:val="auto"/>
        </w:rPr>
      </w:pPr>
    </w:p>
    <w:p>
      <w:pPr>
        <w:ind w:left="1700" w:hanging="720"/>
        <w:spacing w:after="0"/>
        <w:tabs>
          <w:tab w:leader="none" w:pos="170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A merger or consolidation of the Company with or into any other corporation or other entity or person;</w:t>
      </w:r>
    </w:p>
    <w:p>
      <w:pPr>
        <w:spacing w:after="0" w:line="225" w:lineRule="exact"/>
        <w:rPr>
          <w:rFonts w:ascii="Arial" w:cs="Arial" w:eastAsia="Arial" w:hAnsi="Arial"/>
          <w:sz w:val="18"/>
          <w:szCs w:val="18"/>
          <w:color w:val="231F20"/>
        </w:rPr>
      </w:pPr>
    </w:p>
    <w:p>
      <w:pPr>
        <w:ind w:left="660" w:right="620" w:firstLine="320"/>
        <w:spacing w:after="0" w:line="277" w:lineRule="auto"/>
        <w:tabs>
          <w:tab w:leader="none" w:pos="1724"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A sale, lease, exchange or other transfer in one transaction or a series of related transactions of all or substantially all of the Company’s assets; or</w:t>
      </w:r>
    </w:p>
    <w:p>
      <w:pPr>
        <w:spacing w:after="0" w:line="170" w:lineRule="exact"/>
        <w:rPr>
          <w:rFonts w:ascii="Arial" w:cs="Arial" w:eastAsia="Arial" w:hAnsi="Arial"/>
          <w:sz w:val="18"/>
          <w:szCs w:val="18"/>
          <w:color w:val="231F20"/>
        </w:rPr>
      </w:pPr>
    </w:p>
    <w:p>
      <w:pPr>
        <w:ind w:left="660" w:firstLine="320"/>
        <w:spacing w:after="0" w:line="257" w:lineRule="auto"/>
        <w:tabs>
          <w:tab w:leader="none" w:pos="1714"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 xml:space="preserve">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Arial" w:cs="Arial" w:eastAsia="Arial" w:hAnsi="Arial"/>
          <w:sz w:val="18"/>
          <w:szCs w:val="18"/>
          <w:u w:val="single" w:color="auto"/>
          <w:color w:val="231F20"/>
        </w:rPr>
        <w:t>provided that</w:t>
      </w:r>
      <w:r>
        <w:rPr>
          <w:rFonts w:ascii="Arial" w:cs="Arial" w:eastAsia="Arial" w:hAnsi="Arial"/>
          <w:sz w:val="18"/>
          <w:szCs w:val="18"/>
          <w:color w:val="231F20"/>
        </w:rPr>
        <w:t xml:space="preserve"> the following events shall not constitute a “Change of Control”:</w:t>
      </w:r>
    </w:p>
    <w:p>
      <w:pPr>
        <w:spacing w:after="0" w:line="187" w:lineRule="exact"/>
        <w:rPr>
          <w:rFonts w:ascii="Arial" w:cs="Arial" w:eastAsia="Arial" w:hAnsi="Arial"/>
          <w:sz w:val="18"/>
          <w:szCs w:val="18"/>
          <w:color w:val="231F20"/>
        </w:rPr>
      </w:pPr>
    </w:p>
    <w:p>
      <w:pPr>
        <w:ind w:left="1300" w:right="200" w:firstLine="328"/>
        <w:spacing w:after="0" w:line="263" w:lineRule="auto"/>
        <w:tabs>
          <w:tab w:leader="none" w:pos="2379" w:val="left"/>
        </w:tabs>
        <w:numPr>
          <w:ilvl w:val="1"/>
          <w:numId w:val="59"/>
        </w:numPr>
        <w:rPr>
          <w:rFonts w:ascii="Arial" w:cs="Arial" w:eastAsia="Arial" w:hAnsi="Arial"/>
          <w:sz w:val="18"/>
          <w:szCs w:val="18"/>
          <w:color w:val="231F20"/>
        </w:rPr>
      </w:pPr>
      <w:r>
        <w:rPr>
          <w:rFonts w:ascii="Arial" w:cs="Arial" w:eastAsia="Arial" w:hAnsi="Arial"/>
          <w:sz w:val="18"/>
          <w:szCs w:val="18"/>
          <w:color w:val="231F20"/>
        </w:rPr>
        <w:t>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w:t>
      </w:r>
    </w:p>
    <w:p>
      <w:pPr>
        <w:spacing w:after="0" w:line="183" w:lineRule="exact"/>
        <w:rPr>
          <w:rFonts w:ascii="Arial" w:cs="Arial" w:eastAsia="Arial" w:hAnsi="Arial"/>
          <w:sz w:val="18"/>
          <w:szCs w:val="18"/>
          <w:color w:val="231F20"/>
        </w:rPr>
      </w:pPr>
    </w:p>
    <w:p>
      <w:pPr>
        <w:ind w:left="1300" w:right="20" w:firstLine="328"/>
        <w:spacing w:after="0" w:line="277" w:lineRule="auto"/>
        <w:tabs>
          <w:tab w:leader="none" w:pos="2384" w:val="left"/>
        </w:tabs>
        <w:numPr>
          <w:ilvl w:val="1"/>
          <w:numId w:val="59"/>
        </w:numPr>
        <w:rPr>
          <w:rFonts w:ascii="Arial" w:cs="Arial" w:eastAsia="Arial" w:hAnsi="Arial"/>
          <w:sz w:val="18"/>
          <w:szCs w:val="18"/>
          <w:color w:val="231F20"/>
        </w:rPr>
      </w:pPr>
      <w:r>
        <w:rPr>
          <w:rFonts w:ascii="Arial" w:cs="Arial" w:eastAsia="Arial" w:hAnsi="Arial"/>
          <w:sz w:val="18"/>
          <w:szCs w:val="18"/>
          <w:color w:val="231F20"/>
        </w:rPr>
        <w:t>a sale, lease, exchange or other transaction in one transaction or a series of related transactions of all or substantially all of the Company’s assets to an affiliate of the Company;</w:t>
      </w:r>
    </w:p>
    <w:p>
      <w:pPr>
        <w:spacing w:after="0" w:line="170" w:lineRule="exact"/>
        <w:rPr>
          <w:rFonts w:ascii="Arial" w:cs="Arial" w:eastAsia="Arial" w:hAnsi="Arial"/>
          <w:sz w:val="18"/>
          <w:szCs w:val="18"/>
          <w:color w:val="231F20"/>
        </w:rPr>
      </w:pPr>
    </w:p>
    <w:p>
      <w:pPr>
        <w:ind w:left="2440" w:hanging="812"/>
        <w:spacing w:after="0"/>
        <w:tabs>
          <w:tab w:leader="none" w:pos="2440" w:val="left"/>
        </w:tabs>
        <w:numPr>
          <w:ilvl w:val="1"/>
          <w:numId w:val="59"/>
        </w:numPr>
        <w:rPr>
          <w:rFonts w:ascii="Arial" w:cs="Arial" w:eastAsia="Arial" w:hAnsi="Arial"/>
          <w:sz w:val="18"/>
          <w:szCs w:val="18"/>
          <w:color w:val="231F20"/>
        </w:rPr>
      </w:pPr>
      <w:r>
        <w:rPr>
          <w:rFonts w:ascii="Arial" w:cs="Arial" w:eastAsia="Arial" w:hAnsi="Arial"/>
          <w:sz w:val="18"/>
          <w:szCs w:val="18"/>
          <w:color w:val="231F20"/>
        </w:rPr>
        <w:t>an initial public offering of any of the Company’s securities;</w:t>
      </w:r>
    </w:p>
    <w:p>
      <w:pPr>
        <w:spacing w:after="0" w:line="225" w:lineRule="exact"/>
        <w:rPr>
          <w:rFonts w:ascii="Arial" w:cs="Arial" w:eastAsia="Arial" w:hAnsi="Arial"/>
          <w:sz w:val="18"/>
          <w:szCs w:val="18"/>
          <w:color w:val="231F20"/>
        </w:rPr>
      </w:pPr>
    </w:p>
    <w:p>
      <w:pPr>
        <w:ind w:left="2380" w:hanging="752"/>
        <w:spacing w:after="0"/>
        <w:tabs>
          <w:tab w:leader="none" w:pos="2380" w:val="left"/>
        </w:tabs>
        <w:numPr>
          <w:ilvl w:val="1"/>
          <w:numId w:val="59"/>
        </w:numPr>
        <w:rPr>
          <w:rFonts w:ascii="Arial" w:cs="Arial" w:eastAsia="Arial" w:hAnsi="Arial"/>
          <w:sz w:val="18"/>
          <w:szCs w:val="18"/>
          <w:color w:val="231F20"/>
        </w:rPr>
      </w:pPr>
      <w:r>
        <w:rPr>
          <w:rFonts w:ascii="Arial" w:cs="Arial" w:eastAsia="Arial" w:hAnsi="Arial"/>
          <w:sz w:val="18"/>
          <w:szCs w:val="18"/>
          <w:color w:val="231F20"/>
        </w:rPr>
        <w:t>a reincorporation of the Company solely to change its jurisdiction; or</w:t>
      </w:r>
    </w:p>
    <w:p>
      <w:pPr>
        <w:spacing w:after="0" w:line="225" w:lineRule="exact"/>
        <w:rPr>
          <w:rFonts w:ascii="Arial" w:cs="Arial" w:eastAsia="Arial" w:hAnsi="Arial"/>
          <w:sz w:val="18"/>
          <w:szCs w:val="18"/>
          <w:color w:val="231F20"/>
        </w:rPr>
      </w:pPr>
    </w:p>
    <w:p>
      <w:pPr>
        <w:ind w:left="1300" w:right="280" w:firstLine="328"/>
        <w:spacing w:after="0" w:line="308" w:lineRule="auto"/>
        <w:tabs>
          <w:tab w:leader="none" w:pos="2374" w:val="left"/>
        </w:tabs>
        <w:numPr>
          <w:ilvl w:val="1"/>
          <w:numId w:val="59"/>
        </w:numPr>
        <w:rPr>
          <w:rFonts w:ascii="Arial" w:cs="Arial" w:eastAsia="Arial" w:hAnsi="Arial"/>
          <w:sz w:val="17"/>
          <w:szCs w:val="17"/>
          <w:color w:val="231F20"/>
        </w:rPr>
      </w:pPr>
      <w:r>
        <w:rPr>
          <w:rFonts w:ascii="Arial" w:cs="Arial" w:eastAsia="Arial" w:hAnsi="Arial"/>
          <w:sz w:val="17"/>
          <w:szCs w:val="17"/>
          <w:color w:val="231F20"/>
        </w:rPr>
        <w:t>a transaction undertaken for the primary purpose of creating a holding company that will be owned in substantially the same proportion by the persons who held the Company’s securities immediately before such transaction.</w:t>
      </w:r>
    </w:p>
    <w:p>
      <w:pPr>
        <w:spacing w:after="0" w:line="14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231F20"/>
        </w:rPr>
        <w:t>Notwithstanding the foregoing, if a Change of Control would give rise to a payment or settlement event with respect to any Award that constitutes “nonqualified deferred compensation,” the transaction or event constituting the Change of Control must also constitute a “change in control event” (as defined in Treasury Regulation Section 1.409A-3(i)(5)) in order to give rise to the payment or settlement event for such Award, to the extent required by Section 409A of the Code.</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231F20"/>
        </w:rPr>
        <w:t>The Administrator shall have full and final authority, which shall be exercised in its discretion, to determine conclusively whether a Change of Control has occurred pursuant to the above definition, the date of the occurrence of such Change of Control and any incidental matters relating thereto; provided that any exercise of authority in conjunction with a determination of whether a Change of Control is a “change in control event” as defined in Treasury Regulation Section 1.409A-3(i)(5) shall be consistent with such regulation.</w:t>
      </w:r>
    </w:p>
    <w:p>
      <w:pPr>
        <w:spacing w:after="0" w:line="187"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231F20"/>
        </w:rPr>
        <w:t>11.8</w:t>
      </w:r>
      <w:r>
        <w:rPr>
          <w:sz w:val="20"/>
          <w:szCs w:val="20"/>
          <w:color w:val="auto"/>
        </w:rPr>
        <w:tab/>
      </w:r>
      <w:r>
        <w:rPr>
          <w:rFonts w:ascii="Arial" w:cs="Arial" w:eastAsia="Arial" w:hAnsi="Arial"/>
          <w:sz w:val="15"/>
          <w:szCs w:val="15"/>
          <w:color w:val="231F20"/>
        </w:rPr>
        <w:t>“</w:t>
      </w:r>
      <w:r>
        <w:rPr>
          <w:rFonts w:ascii="Arial" w:cs="Arial" w:eastAsia="Arial" w:hAnsi="Arial"/>
          <w:sz w:val="15"/>
          <w:szCs w:val="15"/>
          <w:b w:val="1"/>
          <w:bCs w:val="1"/>
          <w:i w:val="1"/>
          <w:iCs w:val="1"/>
          <w:color w:val="231F20"/>
        </w:rPr>
        <w:t>Code</w:t>
      </w:r>
      <w:r>
        <w:rPr>
          <w:rFonts w:ascii="Arial" w:cs="Arial" w:eastAsia="Arial" w:hAnsi="Arial"/>
          <w:sz w:val="15"/>
          <w:szCs w:val="15"/>
          <w:color w:val="231F20"/>
        </w:rPr>
        <w:t>” means the Internal Revenue Code of 1986, as amended, and the regulations issued thereunder.</w:t>
      </w:r>
    </w:p>
    <w:p>
      <w:pPr>
        <w:spacing w:after="0" w:line="225"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231F20"/>
        </w:rPr>
        <w:t>11.9 “</w:t>
      </w:r>
      <w:r>
        <w:rPr>
          <w:rFonts w:ascii="Arial" w:cs="Arial" w:eastAsia="Arial" w:hAnsi="Arial"/>
          <w:sz w:val="17"/>
          <w:szCs w:val="17"/>
          <w:b w:val="1"/>
          <w:bCs w:val="1"/>
          <w:i w:val="1"/>
          <w:iCs w:val="1"/>
          <w:color w:val="231F20"/>
        </w:rPr>
        <w:t>Committee</w:t>
      </w:r>
      <w:r>
        <w:rPr>
          <w:rFonts w:ascii="Arial" w:cs="Arial" w:eastAsia="Arial" w:hAnsi="Arial"/>
          <w:sz w:val="17"/>
          <w:szCs w:val="17"/>
          <w:color w:val="231F20"/>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2" w:name="page83"/>
    <w:bookmarkEnd w:id="82"/>
    <w:p>
      <w:pPr>
        <w:ind w:right="260" w:firstLine="324"/>
        <w:spacing w:after="0" w:line="277" w:lineRule="auto"/>
        <w:rPr>
          <w:sz w:val="20"/>
          <w:szCs w:val="20"/>
          <w:color w:val="auto"/>
        </w:rPr>
      </w:pPr>
      <w:r>
        <w:rPr>
          <w:rFonts w:ascii="Arial" w:cs="Arial" w:eastAsia="Arial" w:hAnsi="Arial"/>
          <w:sz w:val="18"/>
          <w:szCs w:val="18"/>
          <w:color w:val="231F20"/>
        </w:rPr>
        <w:t>11.10 “</w:t>
      </w:r>
      <w:r>
        <w:rPr>
          <w:rFonts w:ascii="Arial" w:cs="Arial" w:eastAsia="Arial" w:hAnsi="Arial"/>
          <w:sz w:val="18"/>
          <w:szCs w:val="18"/>
          <w:b w:val="1"/>
          <w:bCs w:val="1"/>
          <w:i w:val="1"/>
          <w:iCs w:val="1"/>
          <w:color w:val="231F20"/>
        </w:rPr>
        <w:t>Common Stock</w:t>
      </w:r>
      <w:r>
        <w:rPr>
          <w:rFonts w:ascii="Arial" w:cs="Arial" w:eastAsia="Arial" w:hAnsi="Arial"/>
          <w:sz w:val="18"/>
          <w:szCs w:val="18"/>
          <w:color w:val="231F20"/>
        </w:rPr>
        <w:t>” means the Class A common stock, par value $0.0001 per share, of the Company and Class B common stock, par value $0.0001 per share and such other securities of the Company that may be substituted therefore.</w:t>
      </w:r>
    </w:p>
    <w:p>
      <w:pPr>
        <w:spacing w:after="0" w:line="170"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231F20"/>
        </w:rPr>
        <w:t>11.11</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Company</w:t>
      </w:r>
      <w:r>
        <w:rPr>
          <w:rFonts w:ascii="Arial" w:cs="Arial" w:eastAsia="Arial" w:hAnsi="Arial"/>
          <w:sz w:val="16"/>
          <w:szCs w:val="16"/>
          <w:color w:val="231F20"/>
        </w:rPr>
        <w:t>” means The Oncology Institute, Inc., a Delaware corporation, or any successor.</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231F20"/>
        </w:rPr>
        <w:t>11.12 “</w:t>
      </w:r>
      <w:r>
        <w:rPr>
          <w:rFonts w:ascii="Arial" w:cs="Arial" w:eastAsia="Arial" w:hAnsi="Arial"/>
          <w:sz w:val="18"/>
          <w:szCs w:val="18"/>
          <w:b w:val="1"/>
          <w:bCs w:val="1"/>
          <w:i w:val="1"/>
          <w:iCs w:val="1"/>
          <w:color w:val="231F20"/>
        </w:rPr>
        <w:t>Consultant</w:t>
      </w:r>
      <w:r>
        <w:rPr>
          <w:rFonts w:ascii="Arial" w:cs="Arial" w:eastAsia="Arial" w:hAnsi="Arial"/>
          <w:sz w:val="18"/>
          <w:szCs w:val="18"/>
          <w:color w:val="231F20"/>
        </w:rPr>
        <w:t>” means any consultant or advisor engaged by the Company or any of its Related Entities to render services to such entity that qualifies as a consultant or advisor under the applicable rules of Form S-8 Registration Statements.</w:t>
      </w:r>
    </w:p>
    <w:p>
      <w:pPr>
        <w:spacing w:after="0" w:line="1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231F20"/>
        </w:rPr>
        <w:t>11.13 “</w:t>
      </w:r>
      <w:r>
        <w:rPr>
          <w:rFonts w:ascii="Arial" w:cs="Arial" w:eastAsia="Arial" w:hAnsi="Arial"/>
          <w:sz w:val="18"/>
          <w:szCs w:val="18"/>
          <w:b w:val="1"/>
          <w:bCs w:val="1"/>
          <w:i w:val="1"/>
          <w:iCs w:val="1"/>
          <w:color w:val="231F20"/>
        </w:rPr>
        <w:t>Designated Beneficiary</w:t>
      </w:r>
      <w:r>
        <w:rPr>
          <w:rFonts w:ascii="Arial" w:cs="Arial" w:eastAsia="Arial" w:hAnsi="Arial"/>
          <w:sz w:val="18"/>
          <w:szCs w:val="18"/>
          <w:color w:val="231F20"/>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4"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231F20"/>
        </w:rPr>
        <w:t>11.14</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Director</w:t>
      </w:r>
      <w:r>
        <w:rPr>
          <w:rFonts w:ascii="Arial" w:cs="Arial" w:eastAsia="Arial" w:hAnsi="Arial"/>
          <w:sz w:val="16"/>
          <w:szCs w:val="16"/>
          <w:color w:val="231F20"/>
        </w:rPr>
        <w:t>” means a member of the Board or the Board of Directors of any Related Entity.</w:t>
      </w:r>
    </w:p>
    <w:p>
      <w:pPr>
        <w:spacing w:after="0" w:line="225"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231F20"/>
        </w:rPr>
        <w:t>11.15 “</w:t>
      </w:r>
      <w:r>
        <w:rPr>
          <w:rFonts w:ascii="Arial" w:cs="Arial" w:eastAsia="Arial" w:hAnsi="Arial"/>
          <w:sz w:val="16"/>
          <w:szCs w:val="16"/>
          <w:b w:val="1"/>
          <w:bCs w:val="1"/>
          <w:i w:val="1"/>
          <w:iCs w:val="1"/>
          <w:color w:val="231F20"/>
        </w:rPr>
        <w:t>Disability</w:t>
      </w:r>
      <w:r>
        <w:rPr>
          <w:rFonts w:ascii="Arial" w:cs="Arial" w:eastAsia="Arial" w:hAnsi="Arial"/>
          <w:sz w:val="16"/>
          <w:szCs w:val="16"/>
          <w:color w:val="231F20"/>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11.16 “</w:t>
      </w:r>
      <w:r>
        <w:rPr>
          <w:rFonts w:ascii="Arial" w:cs="Arial" w:eastAsia="Arial" w:hAnsi="Arial"/>
          <w:sz w:val="18"/>
          <w:szCs w:val="18"/>
          <w:b w:val="1"/>
          <w:bCs w:val="1"/>
          <w:i w:val="1"/>
          <w:iCs w:val="1"/>
          <w:color w:val="231F20"/>
        </w:rPr>
        <w:t>Dividend Equivalents</w:t>
      </w:r>
      <w:r>
        <w:rPr>
          <w:rFonts w:ascii="Arial" w:cs="Arial" w:eastAsia="Arial" w:hAnsi="Arial"/>
          <w:sz w:val="18"/>
          <w:szCs w:val="18"/>
          <w:color w:val="231F20"/>
        </w:rPr>
        <w:t>” means a right granted to a Participant under the Plan to receive the equivalent value (in cash or Shares) of dividends paid on Shares.</w:t>
      </w:r>
    </w:p>
    <w:p>
      <w:pPr>
        <w:spacing w:after="0" w:line="17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231F20"/>
        </w:rPr>
        <w:t>11.17</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Employee</w:t>
      </w:r>
      <w:r>
        <w:rPr>
          <w:rFonts w:ascii="Arial" w:cs="Arial" w:eastAsia="Arial" w:hAnsi="Arial"/>
          <w:sz w:val="16"/>
          <w:szCs w:val="16"/>
          <w:color w:val="231F20"/>
        </w:rPr>
        <w:t>” means any employee of the Company or its Related Entities.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11.18 “</w:t>
      </w:r>
      <w:r>
        <w:rPr>
          <w:rFonts w:ascii="Arial" w:cs="Arial" w:eastAsia="Arial" w:hAnsi="Arial"/>
          <w:sz w:val="18"/>
          <w:szCs w:val="18"/>
          <w:b w:val="1"/>
          <w:bCs w:val="1"/>
          <w:i w:val="1"/>
          <w:iCs w:val="1"/>
          <w:color w:val="231F20"/>
        </w:rPr>
        <w:t>Equity Restructuring</w:t>
      </w:r>
      <w:r>
        <w:rPr>
          <w:rFonts w:ascii="Arial" w:cs="Arial" w:eastAsia="Arial" w:hAnsi="Arial"/>
          <w:sz w:val="18"/>
          <w:szCs w:val="18"/>
          <w:color w:val="231F20"/>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Shares (or other securities of the Company) and causes a change in the per share value of the Shares underlying outstanding Awards.</w:t>
      </w:r>
    </w:p>
    <w:p>
      <w:pPr>
        <w:spacing w:after="0" w:line="187"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11.19</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Exchange Act</w:t>
      </w:r>
      <w:r>
        <w:rPr>
          <w:rFonts w:ascii="Arial" w:cs="Arial" w:eastAsia="Arial" w:hAnsi="Arial"/>
          <w:sz w:val="16"/>
          <w:szCs w:val="16"/>
          <w:color w:val="231F20"/>
        </w:rPr>
        <w:t>” means the Securities Exchange Act of 1934, as amended.</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11.20 “</w:t>
      </w:r>
      <w:r>
        <w:rPr>
          <w:rFonts w:ascii="Arial" w:cs="Arial" w:eastAsia="Arial" w:hAnsi="Arial"/>
          <w:sz w:val="18"/>
          <w:szCs w:val="18"/>
          <w:b w:val="1"/>
          <w:bCs w:val="1"/>
          <w:i w:val="1"/>
          <w:iCs w:val="1"/>
          <w:color w:val="231F20"/>
        </w:rPr>
        <w:t>Fair Market Value</w:t>
      </w:r>
      <w:r>
        <w:rPr>
          <w:rFonts w:ascii="Arial" w:cs="Arial" w:eastAsia="Arial" w:hAnsi="Arial"/>
          <w:sz w:val="18"/>
          <w:szCs w:val="18"/>
          <w:color w:val="231F20"/>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231F20"/>
        </w:rPr>
        <w:t>The Wall Street Journal</w:t>
      </w:r>
      <w:r>
        <w:rPr>
          <w:rFonts w:ascii="Arial" w:cs="Arial" w:eastAsia="Arial" w:hAnsi="Arial"/>
          <w:sz w:val="18"/>
          <w:szCs w:val="18"/>
          <w:color w:val="231F20"/>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231F20"/>
        </w:rPr>
        <w:t xml:space="preserve">The Wall Street Journal </w:t>
      </w:r>
      <w:r>
        <w:rPr>
          <w:rFonts w:ascii="Arial" w:cs="Arial" w:eastAsia="Arial" w:hAnsi="Arial"/>
          <w:sz w:val="18"/>
          <w:szCs w:val="18"/>
          <w:color w:val="231F20"/>
        </w:rPr>
        <w:t>or another source the Administrator deems reliable; or (c) without an established market for the Common Stock, the Administrator</w:t>
      </w:r>
      <w:r>
        <w:rPr>
          <w:rFonts w:ascii="Arial" w:cs="Arial" w:eastAsia="Arial" w:hAnsi="Arial"/>
          <w:sz w:val="18"/>
          <w:szCs w:val="18"/>
          <w:i w:val="1"/>
          <w:iCs w:val="1"/>
          <w:color w:val="231F20"/>
        </w:rPr>
        <w:t xml:space="preserve"> </w:t>
      </w:r>
      <w:r>
        <w:rPr>
          <w:rFonts w:ascii="Arial" w:cs="Arial" w:eastAsia="Arial" w:hAnsi="Arial"/>
          <w:sz w:val="18"/>
          <w:szCs w:val="18"/>
          <w:color w:val="231F20"/>
        </w:rPr>
        <w:t>will determine the Fair Market Value in its discretion.</w:t>
      </w:r>
    </w:p>
    <w:p>
      <w:pPr>
        <w:spacing w:after="0" w:line="19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231F20"/>
        </w:rPr>
        <w:t>11.21 “</w:t>
      </w:r>
      <w:r>
        <w:rPr>
          <w:rFonts w:ascii="Arial" w:cs="Arial" w:eastAsia="Arial" w:hAnsi="Arial"/>
          <w:sz w:val="18"/>
          <w:szCs w:val="18"/>
          <w:b w:val="1"/>
          <w:bCs w:val="1"/>
          <w:i w:val="1"/>
          <w:iCs w:val="1"/>
          <w:color w:val="231F20"/>
        </w:rPr>
        <w:t>Greater Than 10% Stockholder</w:t>
      </w:r>
      <w:r>
        <w:rPr>
          <w:rFonts w:ascii="Arial" w:cs="Arial" w:eastAsia="Arial" w:hAnsi="Arial"/>
          <w:sz w:val="18"/>
          <w:szCs w:val="18"/>
          <w:color w:val="231F20"/>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84"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11.22</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Incentive Stock Option</w:t>
      </w:r>
      <w:r>
        <w:rPr>
          <w:rFonts w:ascii="Arial" w:cs="Arial" w:eastAsia="Arial" w:hAnsi="Arial"/>
          <w:sz w:val="16"/>
          <w:szCs w:val="16"/>
          <w:color w:val="231F20"/>
        </w:rPr>
        <w:t>” means an Option intended to qualify as an “incentive stock option” as defined in Section 422 of the Code.</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231F20"/>
        </w:rPr>
        <w:t>11.23 “</w:t>
      </w:r>
      <w:r>
        <w:rPr>
          <w:rFonts w:ascii="Arial" w:cs="Arial" w:eastAsia="Arial" w:hAnsi="Arial"/>
          <w:sz w:val="18"/>
          <w:szCs w:val="18"/>
          <w:b w:val="1"/>
          <w:bCs w:val="1"/>
          <w:i w:val="1"/>
          <w:iCs w:val="1"/>
          <w:color w:val="231F20"/>
        </w:rPr>
        <w:t>Merger Agreement</w:t>
      </w:r>
      <w:r>
        <w:rPr>
          <w:rFonts w:ascii="Arial" w:cs="Arial" w:eastAsia="Arial" w:hAnsi="Arial"/>
          <w:sz w:val="18"/>
          <w:szCs w:val="18"/>
          <w:color w:val="231F20"/>
        </w:rPr>
        <w:t>” means that Agreement and Plan of Merger, dated as of June 28, 2021, by and among DFP Healthcare Acquisitions Corp., Orion Merger Sub I, Inc., Orion Merger Sub II, LLC and TOI Parent, Inc.</w:t>
      </w:r>
    </w:p>
    <w:p>
      <w:pPr>
        <w:spacing w:after="0" w:line="17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11.24</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Non-Qualified Stock Option</w:t>
      </w:r>
      <w:r>
        <w:rPr>
          <w:rFonts w:ascii="Arial" w:cs="Arial" w:eastAsia="Arial" w:hAnsi="Arial"/>
          <w:sz w:val="16"/>
          <w:szCs w:val="16"/>
          <w:color w:val="231F20"/>
        </w:rPr>
        <w:t>” means an Option, or portion thereof, not intended or not qualifying as an Incentive Stock Option.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left="340"/>
        <w:spacing w:after="0"/>
        <w:tabs>
          <w:tab w:leader="none" w:pos="1020" w:val="left"/>
        </w:tabs>
        <w:rPr>
          <w:sz w:val="20"/>
          <w:szCs w:val="20"/>
          <w:color w:val="auto"/>
        </w:rPr>
      </w:pPr>
      <w:r>
        <w:rPr>
          <w:rFonts w:ascii="Arial" w:cs="Arial" w:eastAsia="Arial" w:hAnsi="Arial"/>
          <w:sz w:val="18"/>
          <w:szCs w:val="18"/>
          <w:color w:val="231F20"/>
        </w:rPr>
        <w:t>11.25</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Option</w:t>
      </w:r>
      <w:r>
        <w:rPr>
          <w:rFonts w:ascii="Arial" w:cs="Arial" w:eastAsia="Arial" w:hAnsi="Arial"/>
          <w:sz w:val="16"/>
          <w:szCs w:val="16"/>
          <w:color w:val="231F20"/>
        </w:rPr>
        <w:t>” means an option to purchase Shares, which will either be an Incentive Stock Option or a Non-Qualified Stock Option.</w:t>
      </w:r>
    </w:p>
    <w:p>
      <w:pPr>
        <w:spacing w:after="0" w:line="22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11.26</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Optionholder Earnout Shares</w:t>
      </w:r>
      <w:r>
        <w:rPr>
          <w:rFonts w:ascii="Arial" w:cs="Arial" w:eastAsia="Arial" w:hAnsi="Arial"/>
          <w:sz w:val="16"/>
          <w:szCs w:val="16"/>
          <w:color w:val="231F20"/>
        </w:rPr>
        <w:t>” has the meaning set forth in the Merger Agreement.</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11.27 “</w:t>
      </w:r>
      <w:r>
        <w:rPr>
          <w:rFonts w:ascii="Arial" w:cs="Arial" w:eastAsia="Arial" w:hAnsi="Arial"/>
          <w:sz w:val="18"/>
          <w:szCs w:val="18"/>
          <w:b w:val="1"/>
          <w:bCs w:val="1"/>
          <w:i w:val="1"/>
          <w:iCs w:val="1"/>
          <w:color w:val="231F20"/>
        </w:rPr>
        <w:t>Other Stock or Cash Based Awards</w:t>
      </w:r>
      <w:r>
        <w:rPr>
          <w:rFonts w:ascii="Arial" w:cs="Arial" w:eastAsia="Arial" w:hAnsi="Arial"/>
          <w:sz w:val="18"/>
          <w:szCs w:val="18"/>
          <w:color w:val="231F20"/>
        </w:rPr>
        <w:t>” means cash awards, awards of Shares, and other awards valued wholly or partially by referring to, or are otherwise based on, Shares or other property awarded to a Participant under Article VII.</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231F20"/>
        </w:rPr>
        <w:t>11.28 “</w:t>
      </w:r>
      <w:r>
        <w:rPr>
          <w:rFonts w:ascii="Arial" w:cs="Arial" w:eastAsia="Arial" w:hAnsi="Arial"/>
          <w:sz w:val="18"/>
          <w:szCs w:val="18"/>
          <w:b w:val="1"/>
          <w:bCs w:val="1"/>
          <w:i w:val="1"/>
          <w:iCs w:val="1"/>
          <w:color w:val="231F20"/>
        </w:rPr>
        <w:t>Overall Share Limit</w:t>
      </w:r>
      <w:r>
        <w:rPr>
          <w:rFonts w:ascii="Arial" w:cs="Arial" w:eastAsia="Arial" w:hAnsi="Arial"/>
          <w:sz w:val="18"/>
          <w:szCs w:val="18"/>
          <w:color w:val="231F20"/>
        </w:rPr>
        <w:t>” means the sum of (a) a number of Shares equal to seven percent (7%) of the aggregate number of shares of Common Stock outstanding on a fully diluted basis, as determined at the Effective Date ; (b) any Shares which are subject to Prior Plan Awards as of the Effective Date which, following the Effective Date, become available for issuance under the Plan pursuant to Article IV; (c) any Optionholder Earnout Shares or Stockholder Earnout Shares, as applicable, which are forfeited by reason of a Termination of Service, which following the Effective Date, become available for issuance under the Plan pursuant to Article IV; and (d) an annual increase on the first day of each calendar year beginning January 1, 2022 and ending on and including January 1, 2031, equal to the lesser of (i) a number of Shares equal to four percent (4%) of the aggregate number of shares of Common Stock outstanding on a fully diluted basis, determined on the final day of the immediately preceding calendar year and (ii) such smaller number of Shares as is determined by the Board. For this purpose, the number of shares of Common Stock outstanding will be calculated as if all Options and Stock Appreciation Rights issued and outstanding were exercised in full, and all outstanding Restricted Stock Units were issued and outstanding shares of Common Stock.</w:t>
      </w:r>
    </w:p>
    <w:p>
      <w:pPr>
        <w:spacing w:after="0" w:line="194"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11.29</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Participant</w:t>
      </w:r>
      <w:r>
        <w:rPr>
          <w:rFonts w:ascii="Arial" w:cs="Arial" w:eastAsia="Arial" w:hAnsi="Arial"/>
          <w:sz w:val="16"/>
          <w:szCs w:val="16"/>
          <w:color w:val="231F20"/>
        </w:rPr>
        <w:t>” means a Service Provider who has been granted an Award.</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231F20"/>
        </w:rPr>
        <w:t>11.30 “</w:t>
      </w:r>
      <w:r>
        <w:rPr>
          <w:rFonts w:ascii="Arial" w:cs="Arial" w:eastAsia="Arial" w:hAnsi="Arial"/>
          <w:sz w:val="16"/>
          <w:szCs w:val="16"/>
          <w:b w:val="1"/>
          <w:bCs w:val="1"/>
          <w:i w:val="1"/>
          <w:iCs w:val="1"/>
          <w:color w:val="231F20"/>
        </w:rPr>
        <w:t>Performance Criteria</w:t>
      </w:r>
      <w:r>
        <w:rPr>
          <w:rFonts w:ascii="Arial" w:cs="Arial" w:eastAsia="Arial" w:hAnsi="Arial"/>
          <w:sz w:val="16"/>
          <w:szCs w:val="16"/>
          <w:color w:val="231F20"/>
        </w:rPr>
        <w:t>” 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operating efficiency;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collaborations and transactions; financial ratios (including those measuring liquidity, activity, profitability or leverage); debt levels or reductions; sales-related goals; financing and other capital raising transactions; cash on hand; acquisition, licensing or divestiture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Related Entity, division, business segment or business unit of the Company or a Related Entity, or based upon performance relative to performance of other companies or upon comparisons of any of the indicators of performance relative to performance of other companies.</w:t>
      </w:r>
    </w:p>
    <w:p>
      <w:pPr>
        <w:spacing w:after="0" w:line="39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11.31</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Plan</w:t>
      </w:r>
      <w:r>
        <w:rPr>
          <w:rFonts w:ascii="Arial" w:cs="Arial" w:eastAsia="Arial" w:hAnsi="Arial"/>
          <w:sz w:val="16"/>
          <w:szCs w:val="16"/>
          <w:color w:val="231F20"/>
        </w:rPr>
        <w:t>” means this The Oncology Institute, Inc. 2021 Incentive Award Plan.</w:t>
      </w:r>
    </w:p>
    <w:p>
      <w:pPr>
        <w:spacing w:after="0" w:line="225"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231F20"/>
        </w:rPr>
        <w:t>11.32</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Prior Plan</w:t>
      </w:r>
      <w:r>
        <w:rPr>
          <w:rFonts w:ascii="Arial" w:cs="Arial" w:eastAsia="Arial" w:hAnsi="Arial"/>
          <w:sz w:val="16"/>
          <w:szCs w:val="16"/>
          <w:color w:val="231F20"/>
        </w:rPr>
        <w:t>” means the TOI Parent, Inc. 2019 Non-Qualified Stock Option Plan.</w:t>
      </w:r>
    </w:p>
    <w:p>
      <w:pPr>
        <w:spacing w:after="0" w:line="225"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231F20"/>
        </w:rPr>
        <w:t>11.33</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Prior Plan Award</w:t>
      </w:r>
      <w:r>
        <w:rPr>
          <w:rFonts w:ascii="Arial" w:cs="Arial" w:eastAsia="Arial" w:hAnsi="Arial"/>
          <w:sz w:val="16"/>
          <w:szCs w:val="16"/>
          <w:color w:val="231F20"/>
        </w:rPr>
        <w:t>” means an award outstanding under the Prior Plan as of the Effective Date.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231F20"/>
        </w:rPr>
        <w:t>11.34 “</w:t>
      </w:r>
      <w:r>
        <w:rPr>
          <w:rFonts w:ascii="Arial" w:cs="Arial" w:eastAsia="Arial" w:hAnsi="Arial"/>
          <w:sz w:val="18"/>
          <w:szCs w:val="18"/>
          <w:b w:val="1"/>
          <w:bCs w:val="1"/>
          <w:i w:val="1"/>
          <w:iCs w:val="1"/>
          <w:color w:val="231F20"/>
        </w:rPr>
        <w:t>Related Entity</w:t>
      </w:r>
      <w:r>
        <w:rPr>
          <w:rFonts w:ascii="Arial" w:cs="Arial" w:eastAsia="Arial" w:hAnsi="Arial"/>
          <w:sz w:val="18"/>
          <w:szCs w:val="18"/>
          <w:color w:val="231F20"/>
        </w:rPr>
        <w:t>” means any Subsidiary, and any business, corporation, partnership, limited liability company or other entity designated by the Board, which the Company or a Subsidiary controls, directly or indirectly, through one or more intermediaries. .</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4" w:name="page85"/>
    <w:bookmarkEnd w:id="84"/>
    <w:p>
      <w:pPr>
        <w:ind w:left="340"/>
        <w:spacing w:after="0"/>
        <w:tabs>
          <w:tab w:leader="none" w:pos="1020" w:val="left"/>
        </w:tabs>
        <w:rPr>
          <w:sz w:val="20"/>
          <w:szCs w:val="20"/>
          <w:color w:val="auto"/>
        </w:rPr>
      </w:pPr>
      <w:r>
        <w:rPr>
          <w:rFonts w:ascii="Arial" w:cs="Arial" w:eastAsia="Arial" w:hAnsi="Arial"/>
          <w:sz w:val="18"/>
          <w:szCs w:val="18"/>
          <w:color w:val="231F20"/>
        </w:rPr>
        <w:t>11.35</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Restricted Stock</w:t>
      </w:r>
      <w:r>
        <w:rPr>
          <w:rFonts w:ascii="Arial" w:cs="Arial" w:eastAsia="Arial" w:hAnsi="Arial"/>
          <w:sz w:val="16"/>
          <w:szCs w:val="16"/>
          <w:color w:val="231F20"/>
        </w:rPr>
        <w:t>” means Shares awarded to a Participant under Article VI subject to certain vesting conditions and other restrictions.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11.36 “</w:t>
      </w:r>
      <w:r>
        <w:rPr>
          <w:rFonts w:ascii="Arial" w:cs="Arial" w:eastAsia="Arial" w:hAnsi="Arial"/>
          <w:sz w:val="18"/>
          <w:szCs w:val="18"/>
          <w:b w:val="1"/>
          <w:bCs w:val="1"/>
          <w:i w:val="1"/>
          <w:iCs w:val="1"/>
          <w:color w:val="231F20"/>
        </w:rPr>
        <w:t>Restricted Stock Unit</w:t>
      </w:r>
      <w:r>
        <w:rPr>
          <w:rFonts w:ascii="Arial" w:cs="Arial" w:eastAsia="Arial" w:hAnsi="Arial"/>
          <w:sz w:val="18"/>
          <w:szCs w:val="18"/>
          <w:color w:val="231F20"/>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84"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11.37</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Rule 16b-3</w:t>
      </w:r>
      <w:r>
        <w:rPr>
          <w:rFonts w:ascii="Arial" w:cs="Arial" w:eastAsia="Arial" w:hAnsi="Arial"/>
          <w:sz w:val="16"/>
          <w:szCs w:val="16"/>
          <w:color w:val="231F20"/>
        </w:rPr>
        <w:t>” means Rule 16b-3 promulgated under the Exchange Act.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231F20"/>
        </w:rPr>
        <w:t>11.38 “</w:t>
      </w:r>
      <w:r>
        <w:rPr>
          <w:rFonts w:ascii="Arial" w:cs="Arial" w:eastAsia="Arial" w:hAnsi="Arial"/>
          <w:sz w:val="18"/>
          <w:szCs w:val="18"/>
          <w:b w:val="1"/>
          <w:bCs w:val="1"/>
          <w:i w:val="1"/>
          <w:iCs w:val="1"/>
          <w:color w:val="231F20"/>
        </w:rPr>
        <w:t>Section 409A</w:t>
      </w:r>
      <w:r>
        <w:rPr>
          <w:rFonts w:ascii="Arial" w:cs="Arial" w:eastAsia="Arial" w:hAnsi="Arial"/>
          <w:sz w:val="18"/>
          <w:szCs w:val="18"/>
          <w:color w:val="231F20"/>
        </w:rPr>
        <w:t>” means Section 409A of the Code and all regulations, guidance, compliance programs and other interpretative authority thereunder.</w:t>
      </w:r>
    </w:p>
    <w:p>
      <w:pPr>
        <w:spacing w:after="0" w:line="17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11.39</w:t>
      </w:r>
      <w:r>
        <w:rPr>
          <w:sz w:val="20"/>
          <w:szCs w:val="20"/>
          <w:color w:val="auto"/>
        </w:rPr>
        <w:tab/>
      </w:r>
      <w:r>
        <w:rPr>
          <w:rFonts w:ascii="Arial" w:cs="Arial" w:eastAsia="Arial" w:hAnsi="Arial"/>
          <w:sz w:val="15"/>
          <w:szCs w:val="15"/>
          <w:color w:val="231F20"/>
        </w:rPr>
        <w:t>“</w:t>
      </w:r>
      <w:r>
        <w:rPr>
          <w:rFonts w:ascii="Arial" w:cs="Arial" w:eastAsia="Arial" w:hAnsi="Arial"/>
          <w:sz w:val="15"/>
          <w:szCs w:val="15"/>
          <w:b w:val="1"/>
          <w:bCs w:val="1"/>
          <w:i w:val="1"/>
          <w:iCs w:val="1"/>
          <w:color w:val="231F20"/>
        </w:rPr>
        <w:t>Securities Act</w:t>
      </w:r>
      <w:r>
        <w:rPr>
          <w:rFonts w:ascii="Arial" w:cs="Arial" w:eastAsia="Arial" w:hAnsi="Arial"/>
          <w:sz w:val="15"/>
          <w:szCs w:val="15"/>
          <w:color w:val="231F20"/>
        </w:rPr>
        <w:t>” means the Securities Act of 1933, as amended.</w:t>
      </w:r>
    </w:p>
    <w:p>
      <w:pPr>
        <w:spacing w:after="0" w:line="22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11.40</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Service Provider</w:t>
      </w:r>
      <w:r>
        <w:rPr>
          <w:rFonts w:ascii="Arial" w:cs="Arial" w:eastAsia="Arial" w:hAnsi="Arial"/>
          <w:sz w:val="16"/>
          <w:szCs w:val="16"/>
          <w:color w:val="231F20"/>
        </w:rPr>
        <w:t>” means an Employee, Consultant or Director.</w:t>
      </w:r>
    </w:p>
    <w:p>
      <w:pPr>
        <w:spacing w:after="0" w:line="225"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11.41</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Shares</w:t>
      </w:r>
      <w:r>
        <w:rPr>
          <w:rFonts w:ascii="Arial" w:cs="Arial" w:eastAsia="Arial" w:hAnsi="Arial"/>
          <w:sz w:val="16"/>
          <w:szCs w:val="16"/>
          <w:color w:val="231F20"/>
        </w:rPr>
        <w:t>” means shares of Class A common stock, par value $0.0001 per share, of the Company.</w:t>
      </w:r>
    </w:p>
    <w:p>
      <w:pPr>
        <w:spacing w:after="0" w:line="22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11.42</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Stock Appreciation Right</w:t>
      </w:r>
      <w:r>
        <w:rPr>
          <w:rFonts w:ascii="Arial" w:cs="Arial" w:eastAsia="Arial" w:hAnsi="Arial"/>
          <w:sz w:val="16"/>
          <w:szCs w:val="16"/>
          <w:color w:val="231F20"/>
        </w:rPr>
        <w:t>” means a stock appreciation right granted under Article V.</w:t>
      </w:r>
    </w:p>
    <w:p>
      <w:pPr>
        <w:spacing w:after="0" w:line="225"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11.43</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Stockholder Earnout Shares</w:t>
      </w:r>
      <w:r>
        <w:rPr>
          <w:rFonts w:ascii="Arial" w:cs="Arial" w:eastAsia="Arial" w:hAnsi="Arial"/>
          <w:sz w:val="16"/>
          <w:szCs w:val="16"/>
          <w:color w:val="231F20"/>
        </w:rPr>
        <w:t>” has the meaning set forth in the Merger Agreement.</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231F20"/>
        </w:rPr>
        <w:t>11.44 “</w:t>
      </w:r>
      <w:r>
        <w:rPr>
          <w:rFonts w:ascii="Arial" w:cs="Arial" w:eastAsia="Arial" w:hAnsi="Arial"/>
          <w:sz w:val="16"/>
          <w:szCs w:val="16"/>
          <w:b w:val="1"/>
          <w:bCs w:val="1"/>
          <w:i w:val="1"/>
          <w:iCs w:val="1"/>
          <w:color w:val="231F20"/>
        </w:rPr>
        <w:t>Subsidiary</w:t>
      </w:r>
      <w:r>
        <w:rPr>
          <w:rFonts w:ascii="Arial" w:cs="Arial" w:eastAsia="Arial" w:hAnsi="Arial"/>
          <w:sz w:val="16"/>
          <w:szCs w:val="16"/>
          <w:color w:val="231F20"/>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231F20"/>
        </w:rPr>
        <w:t>11.45 “</w:t>
      </w:r>
      <w:r>
        <w:rPr>
          <w:rFonts w:ascii="Arial" w:cs="Arial" w:eastAsia="Arial" w:hAnsi="Arial"/>
          <w:sz w:val="16"/>
          <w:szCs w:val="16"/>
          <w:b w:val="1"/>
          <w:bCs w:val="1"/>
          <w:i w:val="1"/>
          <w:iCs w:val="1"/>
          <w:color w:val="231F20"/>
        </w:rPr>
        <w:t>Substitute Awards</w:t>
      </w:r>
      <w:r>
        <w:rPr>
          <w:rFonts w:ascii="Arial" w:cs="Arial" w:eastAsia="Arial" w:hAnsi="Arial"/>
          <w:sz w:val="16"/>
          <w:szCs w:val="16"/>
          <w:color w:val="231F20"/>
        </w:rPr>
        <w:t>” means Awards granted or Shares issued by the Company in assumption of, or in substitution or exchange for, awards previously granted, or the right or obligation to make future awards, in each case by a company (i) acquired by the Company or any Related Entity,</w:t>
      </w:r>
    </w:p>
    <w:p>
      <w:pPr>
        <w:ind w:left="340" w:right="2300" w:hanging="332"/>
        <w:spacing w:after="0" w:line="519" w:lineRule="auto"/>
        <w:tabs>
          <w:tab w:leader="none" w:pos="281" w:val="left"/>
        </w:tabs>
        <w:numPr>
          <w:ilvl w:val="0"/>
          <w:numId w:val="60"/>
        </w:numPr>
        <w:rPr>
          <w:rFonts w:ascii="Arial" w:cs="Arial" w:eastAsia="Arial" w:hAnsi="Arial"/>
          <w:sz w:val="17"/>
          <w:szCs w:val="17"/>
          <w:color w:val="231F20"/>
        </w:rPr>
      </w:pPr>
      <w:r>
        <w:rPr>
          <w:rFonts w:ascii="Arial" w:cs="Arial" w:eastAsia="Arial" w:hAnsi="Arial"/>
          <w:sz w:val="17"/>
          <w:szCs w:val="17"/>
          <w:color w:val="231F20"/>
        </w:rPr>
        <w:t>which becomes a Related Entity after the date hereof, or (iii) with which the Company or any Related Entity combines. 11.46 “</w:t>
      </w:r>
      <w:r>
        <w:rPr>
          <w:rFonts w:ascii="Arial" w:cs="Arial" w:eastAsia="Arial" w:hAnsi="Arial"/>
          <w:sz w:val="17"/>
          <w:szCs w:val="17"/>
          <w:b w:val="1"/>
          <w:bCs w:val="1"/>
          <w:i w:val="1"/>
          <w:iCs w:val="1"/>
          <w:color w:val="231F20"/>
        </w:rPr>
        <w:t>Termination of Service</w:t>
      </w:r>
      <w:r>
        <w:rPr>
          <w:rFonts w:ascii="Arial" w:cs="Arial" w:eastAsia="Arial" w:hAnsi="Arial"/>
          <w:sz w:val="17"/>
          <w:szCs w:val="17"/>
          <w:color w:val="231F20"/>
        </w:rPr>
        <w:t>” means the date the Participant ceases to be a Service Provider.</w:t>
      </w:r>
    </w:p>
    <w:p>
      <w:pPr>
        <w:jc w:val="center"/>
        <w:ind w:right="-79"/>
        <w:spacing w:after="0"/>
        <w:rPr>
          <w:sz w:val="20"/>
          <w:szCs w:val="20"/>
          <w:color w:val="auto"/>
        </w:rPr>
      </w:pPr>
      <w:r>
        <w:rPr>
          <w:rFonts w:ascii="Arial" w:cs="Arial" w:eastAsia="Arial" w:hAnsi="Arial"/>
          <w:sz w:val="18"/>
          <w:szCs w:val="18"/>
          <w:b w:val="1"/>
          <w:bCs w:val="1"/>
          <w:color w:val="231F20"/>
        </w:rPr>
        <w:t>*****</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165100</wp:posOffset>
            </wp:positionV>
            <wp:extent cx="5700395" cy="420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700395" cy="420370"/>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ONCOLOGY INSTITUTE,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2021 EMPLOYEE STOCK PURCHASE PLAN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I. PURPOSE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The purpose of this Plan is to assist Eligible Employees of the Company and its Designated Subsidiaries in acquiring a stock ownership interest in the Company.</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231F20"/>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 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231F20"/>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DEFINITIONS AND CONSTRUCTION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Wherever the following terms are used in the Plan they shall have the meanings specified below, unless the context clearly indicates otherwise.</w:t>
      </w:r>
    </w:p>
    <w:p>
      <w:pPr>
        <w:spacing w:after="0" w:line="2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2.1</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Administrator</w:t>
      </w:r>
      <w:r>
        <w:rPr>
          <w:rFonts w:ascii="Arial" w:cs="Arial" w:eastAsia="Arial" w:hAnsi="Arial"/>
          <w:sz w:val="16"/>
          <w:szCs w:val="16"/>
          <w:color w:val="231F20"/>
        </w:rPr>
        <w:t>” means the entity that conducts the general administration of the Plan as provided in Article XI.</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231F20"/>
        </w:rPr>
        <w:t>2.2 “</w:t>
      </w:r>
      <w:r>
        <w:rPr>
          <w:rFonts w:ascii="Arial" w:cs="Arial" w:eastAsia="Arial" w:hAnsi="Arial"/>
          <w:sz w:val="18"/>
          <w:szCs w:val="18"/>
          <w:b w:val="1"/>
          <w:bCs w:val="1"/>
          <w:i w:val="1"/>
          <w:iCs w:val="1"/>
          <w:color w:val="231F20"/>
        </w:rPr>
        <w:t>Agent</w:t>
      </w:r>
      <w:r>
        <w:rPr>
          <w:rFonts w:ascii="Arial" w:cs="Arial" w:eastAsia="Arial" w:hAnsi="Arial"/>
          <w:sz w:val="18"/>
          <w:szCs w:val="18"/>
          <w:color w:val="231F20"/>
        </w:rPr>
        <w:t>” means the brokerage firm, bank or other financial institution, entity or person(s), if any, engaged, retained, appointed or authorized to act as the agent of the Company or an Employee with regard to the Plan.</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231F20"/>
        </w:rPr>
        <w:t>2.3 “</w:t>
      </w:r>
      <w:r>
        <w:rPr>
          <w:rFonts w:ascii="Arial" w:cs="Arial" w:eastAsia="Arial" w:hAnsi="Arial"/>
          <w:sz w:val="17"/>
          <w:szCs w:val="17"/>
          <w:b w:val="1"/>
          <w:bCs w:val="1"/>
          <w:i w:val="1"/>
          <w:iCs w:val="1"/>
          <w:color w:val="231F20"/>
        </w:rPr>
        <w:t>Applicable Law</w:t>
      </w:r>
      <w:r>
        <w:rPr>
          <w:rFonts w:ascii="Arial" w:cs="Arial" w:eastAsia="Arial" w:hAnsi="Arial"/>
          <w:sz w:val="17"/>
          <w:szCs w:val="17"/>
          <w:color w:val="231F20"/>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pacing w:after="0" w:line="16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2.4</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Board</w:t>
      </w:r>
      <w:r>
        <w:rPr>
          <w:rFonts w:ascii="Arial" w:cs="Arial" w:eastAsia="Arial" w:hAnsi="Arial"/>
          <w:sz w:val="16"/>
          <w:szCs w:val="16"/>
          <w:color w:val="231F20"/>
        </w:rPr>
        <w:t>” means the Board of Directors of the Company.</w:t>
      </w:r>
    </w:p>
    <w:p>
      <w:pPr>
        <w:spacing w:after="0" w:line="22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2.5</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Change of Control</w:t>
      </w:r>
      <w:r>
        <w:rPr>
          <w:rFonts w:ascii="Arial" w:cs="Arial" w:eastAsia="Arial" w:hAnsi="Arial"/>
          <w:sz w:val="16"/>
          <w:szCs w:val="16"/>
          <w:color w:val="231F20"/>
        </w:rPr>
        <w:t>” means and includes each of the following:</w:t>
      </w:r>
    </w:p>
    <w:p>
      <w:pPr>
        <w:spacing w:after="0" w:line="225" w:lineRule="exact"/>
        <w:rPr>
          <w:sz w:val="20"/>
          <w:szCs w:val="20"/>
          <w:color w:val="auto"/>
        </w:rPr>
      </w:pPr>
    </w:p>
    <w:p>
      <w:pPr>
        <w:ind w:left="5500" w:right="2140" w:hanging="4520"/>
        <w:spacing w:after="0" w:line="778" w:lineRule="auto"/>
        <w:tabs>
          <w:tab w:leader="none" w:pos="1719"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 xml:space="preserve">A merger or consolidation of the Company with or into any other corporation or other entity or person; </w:t>
      </w:r>
      <w:r>
        <w:rPr>
          <w:rFonts w:ascii="Arial" w:cs="Arial" w:eastAsia="Arial" w:hAnsi="Arial"/>
          <w:sz w:val="18"/>
          <w:szCs w:val="18"/>
          <w:color w:val="000000"/>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6" w:name="page87"/>
    <w:bookmarkEnd w:id="86"/>
    <w:p>
      <w:pPr>
        <w:ind w:left="340" w:right="620" w:firstLine="640"/>
        <w:spacing w:after="0" w:line="277" w:lineRule="auto"/>
        <w:tabs>
          <w:tab w:leader="none" w:pos="1728"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A sale, lease, exchange or other transfer in one transaction or a series of related transactions of all or substantially all of the Company’s assets; or</w:t>
      </w:r>
    </w:p>
    <w:p>
      <w:pPr>
        <w:spacing w:after="0" w:line="170" w:lineRule="exact"/>
        <w:rPr>
          <w:rFonts w:ascii="Arial" w:cs="Arial" w:eastAsia="Arial" w:hAnsi="Arial"/>
          <w:sz w:val="18"/>
          <w:szCs w:val="18"/>
          <w:color w:val="231F20"/>
        </w:rPr>
      </w:pPr>
    </w:p>
    <w:p>
      <w:pPr>
        <w:ind w:left="340" w:firstLine="640"/>
        <w:spacing w:after="0" w:line="257" w:lineRule="auto"/>
        <w:tabs>
          <w:tab w:leader="none" w:pos="1718"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 xml:space="preserve">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Arial" w:cs="Arial" w:eastAsia="Arial" w:hAnsi="Arial"/>
          <w:sz w:val="18"/>
          <w:szCs w:val="18"/>
          <w:u w:val="single" w:color="auto"/>
          <w:color w:val="231F20"/>
        </w:rPr>
        <w:t>provided that</w:t>
      </w:r>
      <w:r>
        <w:rPr>
          <w:rFonts w:ascii="Arial" w:cs="Arial" w:eastAsia="Arial" w:hAnsi="Arial"/>
          <w:sz w:val="18"/>
          <w:szCs w:val="18"/>
          <w:color w:val="231F20"/>
        </w:rPr>
        <w:t xml:space="preserve"> the following events shall not constitute a “Change of Control”:</w:t>
      </w:r>
    </w:p>
    <w:p>
      <w:pPr>
        <w:spacing w:after="0" w:line="188" w:lineRule="exact"/>
        <w:rPr>
          <w:sz w:val="20"/>
          <w:szCs w:val="20"/>
          <w:color w:val="auto"/>
        </w:rPr>
      </w:pPr>
    </w:p>
    <w:p>
      <w:pPr>
        <w:ind w:left="660" w:right="20" w:firstLine="320"/>
        <w:spacing w:after="0" w:line="263" w:lineRule="auto"/>
        <w:tabs>
          <w:tab w:leader="none" w:pos="1694"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w:t>
      </w:r>
    </w:p>
    <w:p>
      <w:pPr>
        <w:spacing w:after="0" w:line="183" w:lineRule="exact"/>
        <w:rPr>
          <w:rFonts w:ascii="Arial" w:cs="Arial" w:eastAsia="Arial" w:hAnsi="Arial"/>
          <w:sz w:val="18"/>
          <w:szCs w:val="18"/>
          <w:color w:val="231F20"/>
        </w:rPr>
      </w:pPr>
    </w:p>
    <w:p>
      <w:pPr>
        <w:ind w:left="660" w:right="400" w:firstLine="320"/>
        <w:spacing w:after="0" w:line="277" w:lineRule="auto"/>
        <w:tabs>
          <w:tab w:leader="none" w:pos="1744"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sale, lease, exchange or other transaction in one transaction or a series of related transactions of all or substantially all of the Company’s assets to an affiliate of the Company;</w:t>
      </w:r>
    </w:p>
    <w:p>
      <w:pPr>
        <w:spacing w:after="0" w:line="170" w:lineRule="exact"/>
        <w:rPr>
          <w:rFonts w:ascii="Arial" w:cs="Arial" w:eastAsia="Arial" w:hAnsi="Arial"/>
          <w:sz w:val="18"/>
          <w:szCs w:val="18"/>
          <w:color w:val="231F20"/>
        </w:rPr>
      </w:pPr>
    </w:p>
    <w:p>
      <w:pPr>
        <w:ind w:left="1740" w:hanging="760"/>
        <w:spacing w:after="0"/>
        <w:tabs>
          <w:tab w:leader="none" w:pos="174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an initial public offering of any of the Company’s securities;</w:t>
      </w:r>
    </w:p>
    <w:p>
      <w:pPr>
        <w:spacing w:after="0" w:line="225" w:lineRule="exact"/>
        <w:rPr>
          <w:rFonts w:ascii="Arial" w:cs="Arial" w:eastAsia="Arial" w:hAnsi="Arial"/>
          <w:sz w:val="18"/>
          <w:szCs w:val="18"/>
          <w:color w:val="231F20"/>
        </w:rPr>
      </w:pPr>
    </w:p>
    <w:p>
      <w:pPr>
        <w:ind w:left="1740" w:hanging="760"/>
        <w:spacing w:after="0"/>
        <w:tabs>
          <w:tab w:leader="none" w:pos="174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reincorporation of the Company solely to change its jurisdiction; or</w:t>
      </w:r>
    </w:p>
    <w:p>
      <w:pPr>
        <w:spacing w:after="0" w:line="225" w:lineRule="exact"/>
        <w:rPr>
          <w:rFonts w:ascii="Arial" w:cs="Arial" w:eastAsia="Arial" w:hAnsi="Arial"/>
          <w:sz w:val="18"/>
          <w:szCs w:val="18"/>
          <w:color w:val="231F20"/>
        </w:rPr>
      </w:pPr>
    </w:p>
    <w:p>
      <w:pPr>
        <w:ind w:left="660" w:right="520" w:firstLine="320"/>
        <w:spacing w:after="0" w:line="277" w:lineRule="auto"/>
        <w:tabs>
          <w:tab w:leader="none" w:pos="1734"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transaction undertaken for the primary purpose of creating a holding company that will be owned in substantially the same proportion by the persons who held the Company’s securities immediately before such transaction.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231F20"/>
        </w:rPr>
        <w:t>Notwithstanding the foregoing, if a Change of Control would give rise to a payment or settlement event with respect to any Award that constitutes “nonqualified deferred compensation,” the transaction or event constituting the Change of Control must also constitute a “change in control event” (as defined in Treasury Regulation Section 1.409A-3(i)(5)) in order to give rise to the payment or settlement event for such Award, to the extent required by Section 409A of the Code.</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231F20"/>
        </w:rPr>
        <w:t>The Administrator shall have full and final authority, which shall be exercised in its discretion, to determine conclusively whether a Change of Control has occurred pursuant to the above definition, the date of the occurrence of such Change of Control and any incidental matters relating thereto; provided that any exercise of authority in conjunction with a determination of whether a Change of Control is a “change in control event” as defined in Treasury Regulation Section 1.409A-3(i)(5) shall be consistent with such regulation.</w:t>
      </w:r>
    </w:p>
    <w:p>
      <w:pPr>
        <w:spacing w:after="0" w:line="18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2.6</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Code</w:t>
      </w:r>
      <w:r>
        <w:rPr>
          <w:rFonts w:ascii="Arial" w:cs="Arial" w:eastAsia="Arial" w:hAnsi="Arial"/>
          <w:sz w:val="16"/>
          <w:szCs w:val="16"/>
          <w:color w:val="231F20"/>
        </w:rPr>
        <w:t>” means the U.S. Internal Revenue Code of 1986, as amended, and the regulations issued thereunder.</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231F20"/>
        </w:rPr>
        <w:t>2.7 “</w:t>
      </w:r>
      <w:r>
        <w:rPr>
          <w:rFonts w:ascii="Arial" w:cs="Arial" w:eastAsia="Arial" w:hAnsi="Arial"/>
          <w:sz w:val="18"/>
          <w:szCs w:val="18"/>
          <w:b w:val="1"/>
          <w:bCs w:val="1"/>
          <w:i w:val="1"/>
          <w:iCs w:val="1"/>
          <w:color w:val="231F20"/>
        </w:rPr>
        <w:t>Common Stock</w:t>
      </w:r>
      <w:r>
        <w:rPr>
          <w:rFonts w:ascii="Arial" w:cs="Arial" w:eastAsia="Arial" w:hAnsi="Arial"/>
          <w:sz w:val="18"/>
          <w:szCs w:val="18"/>
          <w:color w:val="231F20"/>
        </w:rPr>
        <w:t>” means the Class A common stock, par value $0.0001 per share, of the Company and Class B common stock, par value $0.0001 per share and such other securities of the Company that may be substituted therefore.</w:t>
      </w:r>
    </w:p>
    <w:p>
      <w:pPr>
        <w:spacing w:after="0" w:line="17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2.8</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Company</w:t>
      </w:r>
      <w:r>
        <w:rPr>
          <w:rFonts w:ascii="Arial" w:cs="Arial" w:eastAsia="Arial" w:hAnsi="Arial"/>
          <w:sz w:val="16"/>
          <w:szCs w:val="16"/>
          <w:color w:val="231F20"/>
        </w:rPr>
        <w:t>” means The Oncology Institute, Inc., a Delaware corporation, or any successor.</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31F20"/>
        </w:rPr>
        <w:t>2.9 “</w:t>
      </w:r>
      <w:r>
        <w:rPr>
          <w:rFonts w:ascii="Arial" w:cs="Arial" w:eastAsia="Arial" w:hAnsi="Arial"/>
          <w:sz w:val="17"/>
          <w:szCs w:val="17"/>
          <w:b w:val="1"/>
          <w:bCs w:val="1"/>
          <w:i w:val="1"/>
          <w:iCs w:val="1"/>
          <w:color w:val="231F20"/>
        </w:rPr>
        <w:t>Compensation</w:t>
      </w:r>
      <w:r>
        <w:rPr>
          <w:rFonts w:ascii="Arial" w:cs="Arial" w:eastAsia="Arial" w:hAnsi="Arial"/>
          <w:sz w:val="17"/>
          <w:szCs w:val="17"/>
          <w:color w:val="231F20"/>
        </w:rPr>
        <w:t>” of an Eligible Employee means, unless otherwise determined by the Administrator, the base salary, wages (including overtime), cash incentive compensation, bonuses, commissions and compensation in respect of periods of absence from work, in each case, paid by the Company or any Designated Subsidiary to such Eligible Employee; and excluding any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7" w:name="page88"/>
    <w:bookmarkEnd w:id="87"/>
    <w:p>
      <w:pPr>
        <w:ind w:right="220" w:firstLine="324"/>
        <w:spacing w:after="0" w:line="277" w:lineRule="auto"/>
        <w:rPr>
          <w:sz w:val="20"/>
          <w:szCs w:val="20"/>
          <w:color w:val="auto"/>
        </w:rPr>
      </w:pPr>
      <w:r>
        <w:rPr>
          <w:rFonts w:ascii="Arial" w:cs="Arial" w:eastAsia="Arial" w:hAnsi="Arial"/>
          <w:sz w:val="18"/>
          <w:szCs w:val="18"/>
          <w:color w:val="231F20"/>
        </w:rPr>
        <w:t>2.10 “</w:t>
      </w:r>
      <w:r>
        <w:rPr>
          <w:rFonts w:ascii="Arial" w:cs="Arial" w:eastAsia="Arial" w:hAnsi="Arial"/>
          <w:sz w:val="18"/>
          <w:szCs w:val="18"/>
          <w:b w:val="1"/>
          <w:bCs w:val="1"/>
          <w:i w:val="1"/>
          <w:iCs w:val="1"/>
          <w:color w:val="231F20"/>
        </w:rPr>
        <w:t>Designated Beneficiary</w:t>
      </w:r>
      <w:r>
        <w:rPr>
          <w:rFonts w:ascii="Arial" w:cs="Arial" w:eastAsia="Arial" w:hAnsi="Arial"/>
          <w:sz w:val="18"/>
          <w:szCs w:val="18"/>
          <w:color w:val="231F20"/>
        </w:rPr>
        <w:t>” means the beneficiary or beneficiaries the Participant designates, in a manner the Administrator determines, to receive amounts due or exercise the Participant’s rights if the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231F20"/>
        </w:rPr>
        <w:t>Participant dies or becomes incapacitated. Without a Participant’s effective designation, “Designated Beneficiary” will mean the Participant’s estate.</w:t>
      </w:r>
    </w:p>
    <w:p>
      <w:pPr>
        <w:spacing w:after="0" w:line="23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231F20"/>
        </w:rPr>
        <w:t>2.11 “</w:t>
      </w:r>
      <w:r>
        <w:rPr>
          <w:rFonts w:ascii="Arial" w:cs="Arial" w:eastAsia="Arial" w:hAnsi="Arial"/>
          <w:sz w:val="18"/>
          <w:szCs w:val="18"/>
          <w:b w:val="1"/>
          <w:bCs w:val="1"/>
          <w:i w:val="1"/>
          <w:iCs w:val="1"/>
          <w:color w:val="231F20"/>
        </w:rPr>
        <w:t>Designated Subsidiary</w:t>
      </w:r>
      <w:r>
        <w:rPr>
          <w:rFonts w:ascii="Arial" w:cs="Arial" w:eastAsia="Arial" w:hAnsi="Arial"/>
          <w:sz w:val="18"/>
          <w:szCs w:val="18"/>
          <w:color w:val="231F20"/>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2.12 “</w:t>
      </w:r>
      <w:r>
        <w:rPr>
          <w:rFonts w:ascii="Arial" w:cs="Arial" w:eastAsia="Arial" w:hAnsi="Arial"/>
          <w:sz w:val="18"/>
          <w:szCs w:val="18"/>
          <w:b w:val="1"/>
          <w:bCs w:val="1"/>
          <w:i w:val="1"/>
          <w:iCs w:val="1"/>
          <w:color w:val="231F20"/>
        </w:rPr>
        <w:t>Effectiv</w:t>
      </w:r>
      <w:r>
        <w:rPr>
          <w:rFonts w:ascii="Arial" w:cs="Arial" w:eastAsia="Arial" w:hAnsi="Arial"/>
          <w:sz w:val="18"/>
          <w:szCs w:val="18"/>
          <w:color w:val="231F20"/>
        </w:rPr>
        <w:t xml:space="preserve">e </w:t>
      </w:r>
      <w:r>
        <w:rPr>
          <w:rFonts w:ascii="Arial" w:cs="Arial" w:eastAsia="Arial" w:hAnsi="Arial"/>
          <w:sz w:val="18"/>
          <w:szCs w:val="18"/>
          <w:b w:val="1"/>
          <w:bCs w:val="1"/>
          <w:i w:val="1"/>
          <w:iCs w:val="1"/>
          <w:color w:val="231F20"/>
        </w:rPr>
        <w:t>Date</w:t>
      </w:r>
      <w:r>
        <w:rPr>
          <w:rFonts w:ascii="Arial" w:cs="Arial" w:eastAsia="Arial" w:hAnsi="Arial"/>
          <w:sz w:val="18"/>
          <w:szCs w:val="18"/>
          <w:color w:val="231F20"/>
        </w:rPr>
        <w:t>” means on the closing of the transactions contemplated by the Agreement and Plan of Merger, dated as of June 28, 2021, by and among DFP Healthcare Acquisitions Corp., Orion Merger Sub I, Inc., Orion Merger Sub II, LLC and TOI Parent, Inc., subject to prior approval by the Company’s stockholders of the Plan. If the Plan is not approved by the Company’s stockholders, the Plan will not become effective and no Awards will be granted under the Plan.</w:t>
      </w:r>
    </w:p>
    <w:p>
      <w:pPr>
        <w:spacing w:after="0" w:line="18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231F20"/>
        </w:rPr>
        <w:t>2.13 “</w:t>
      </w:r>
      <w:r>
        <w:rPr>
          <w:rFonts w:ascii="Arial" w:cs="Arial" w:eastAsia="Arial" w:hAnsi="Arial"/>
          <w:sz w:val="17"/>
          <w:szCs w:val="17"/>
          <w:b w:val="1"/>
          <w:bCs w:val="1"/>
          <w:i w:val="1"/>
          <w:iCs w:val="1"/>
          <w:color w:val="231F20"/>
        </w:rPr>
        <w:t>Eligible Employee</w:t>
      </w:r>
      <w:r>
        <w:rPr>
          <w:rFonts w:ascii="Arial" w:cs="Arial" w:eastAsia="Arial" w:hAnsi="Arial"/>
          <w:sz w:val="17"/>
          <w:szCs w:val="17"/>
          <w:color w:val="231F20"/>
        </w:rPr>
        <w:t xml:space="preserve">” means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Notwithstanding the foregoing, the Administrator may provide in an Offering Document that an Employee shall not be eligible to participate in an Offering Period under the Section 423 Component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20 hours per week or less; (d) such Employee’s customary employment is for less than five months in any calendar year; and/or (e)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7"/>
          <w:szCs w:val="17"/>
          <w:i w:val="1"/>
          <w:iCs w:val="1"/>
          <w:color w:val="231F20"/>
        </w:rPr>
        <w:t xml:space="preserve">provided, </w:t>
      </w:r>
      <w:r>
        <w:rPr>
          <w:rFonts w:ascii="Arial" w:cs="Arial" w:eastAsia="Arial" w:hAnsi="Arial"/>
          <w:sz w:val="17"/>
          <w:szCs w:val="17"/>
          <w:color w:val="231F20"/>
        </w:rPr>
        <w:t>that any exclusion in clauses (a), (b), (c), (d) or (e) shall be applied in an identical manner under each Offering Period to all Employees, in</w:t>
      </w:r>
      <w:r>
        <w:rPr>
          <w:rFonts w:ascii="Arial" w:cs="Arial" w:eastAsia="Arial" w:hAnsi="Arial"/>
          <w:sz w:val="17"/>
          <w:szCs w:val="17"/>
          <w:i w:val="1"/>
          <w:iCs w:val="1"/>
          <w:color w:val="231F20"/>
        </w:rPr>
        <w:t xml:space="preserve"> </w:t>
      </w:r>
      <w:r>
        <w:rPr>
          <w:rFonts w:ascii="Arial" w:cs="Arial" w:eastAsia="Arial" w:hAnsi="Arial"/>
          <w:sz w:val="17"/>
          <w:szCs w:val="17"/>
          <w:color w:val="231F20"/>
        </w:rPr>
        <w:t>accordance with Treasury Regulation Section 1.423-2(e).</w:t>
      </w:r>
    </w:p>
    <w:p>
      <w:pPr>
        <w:spacing w:after="0" w:line="18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231F20"/>
        </w:rPr>
        <w:t>Further notwithstanding the foregoing, with respect to the Non-Section 423 Component, the first sentence in this definition shall apply in determining who is an “Eligible Employee,” except (i) the Administrator may further limit eligibility within the Company or within a Designated Subsidiary so as to only designate certain Employees of the Company or of a Designated Subsidiary as “Eligible Employees”, and (ii) to the extent the restrictions in the first sentence in this definition are not consistent with any applicable local law, such applicable local law shall control.</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2.14 “</w:t>
      </w:r>
      <w:r>
        <w:rPr>
          <w:rFonts w:ascii="Arial" w:cs="Arial" w:eastAsia="Arial" w:hAnsi="Arial"/>
          <w:sz w:val="17"/>
          <w:szCs w:val="17"/>
          <w:b w:val="1"/>
          <w:bCs w:val="1"/>
          <w:i w:val="1"/>
          <w:iCs w:val="1"/>
          <w:color w:val="231F20"/>
        </w:rPr>
        <w:t>Employee</w:t>
      </w:r>
      <w:r>
        <w:rPr>
          <w:rFonts w:ascii="Arial" w:cs="Arial" w:eastAsia="Arial" w:hAnsi="Arial"/>
          <w:sz w:val="17"/>
          <w:szCs w:val="17"/>
          <w:color w:val="231F20"/>
        </w:rPr>
        <w:t>” means any individual who renders services to the Company or any Designated Subsidiary in the status of an employee, and, with respect to the Section 423 Component, a person who is an employee of the Company or any Designated Subsidiary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7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2.15</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Enrollment Date</w:t>
      </w:r>
      <w:r>
        <w:rPr>
          <w:rFonts w:ascii="Arial" w:cs="Arial" w:eastAsia="Arial" w:hAnsi="Arial"/>
          <w:sz w:val="16"/>
          <w:szCs w:val="16"/>
          <w:color w:val="231F20"/>
        </w:rPr>
        <w:t>” means the first Trading Day of each Offering Period.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8" w:name="page89"/>
    <w:bookmarkEnd w:id="88"/>
    <w:p>
      <w:pPr>
        <w:ind w:right="120" w:firstLine="324"/>
        <w:spacing w:after="0" w:line="254" w:lineRule="auto"/>
        <w:rPr>
          <w:sz w:val="20"/>
          <w:szCs w:val="20"/>
          <w:color w:val="auto"/>
        </w:rPr>
      </w:pPr>
      <w:r>
        <w:rPr>
          <w:rFonts w:ascii="Arial" w:cs="Arial" w:eastAsia="Arial" w:hAnsi="Arial"/>
          <w:sz w:val="18"/>
          <w:szCs w:val="18"/>
          <w:color w:val="231F20"/>
        </w:rPr>
        <w:t>2.16 “</w:t>
      </w:r>
      <w:r>
        <w:rPr>
          <w:rFonts w:ascii="Arial" w:cs="Arial" w:eastAsia="Arial" w:hAnsi="Arial"/>
          <w:sz w:val="18"/>
          <w:szCs w:val="18"/>
          <w:b w:val="1"/>
          <w:bCs w:val="1"/>
          <w:i w:val="1"/>
          <w:iCs w:val="1"/>
          <w:color w:val="231F20"/>
        </w:rPr>
        <w:t>Fair Market Value</w:t>
      </w:r>
      <w:r>
        <w:rPr>
          <w:rFonts w:ascii="Arial" w:cs="Arial" w:eastAsia="Arial" w:hAnsi="Arial"/>
          <w:sz w:val="18"/>
          <w:szCs w:val="18"/>
          <w:color w:val="231F20"/>
        </w:rPr>
        <w:t xml:space="preserve">” means, as of any date, the value of Shares determined as follows: (a)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(b) if the Shares are not traded on a stock exchange but are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231F20"/>
        </w:rPr>
        <w:t>The Wall Street Journal</w:t>
      </w:r>
      <w:r>
        <w:rPr>
          <w:rFonts w:ascii="Arial" w:cs="Arial" w:eastAsia="Arial" w:hAnsi="Arial"/>
          <w:sz w:val="18"/>
          <w:szCs w:val="18"/>
          <w:color w:val="231F20"/>
        </w:rPr>
        <w:t xml:space="preserve"> or another source the Administrator deems reliable; or (c) without an established market for the Shares, the Administrator will determine the Fair Market Value in its discretion.</w:t>
      </w:r>
    </w:p>
    <w:p>
      <w:pPr>
        <w:spacing w:after="0" w:line="19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231F20"/>
        </w:rPr>
        <w:t>2.17 “</w:t>
      </w:r>
      <w:r>
        <w:rPr>
          <w:rFonts w:ascii="Arial" w:cs="Arial" w:eastAsia="Arial" w:hAnsi="Arial"/>
          <w:sz w:val="18"/>
          <w:szCs w:val="18"/>
          <w:b w:val="1"/>
          <w:bCs w:val="1"/>
          <w:i w:val="1"/>
          <w:iCs w:val="1"/>
          <w:color w:val="231F20"/>
        </w:rPr>
        <w:t>Non-Section 423 Component</w:t>
      </w:r>
      <w:r>
        <w:rPr>
          <w:rFonts w:ascii="Arial" w:cs="Arial" w:eastAsia="Arial" w:hAnsi="Arial"/>
          <w:sz w:val="18"/>
          <w:szCs w:val="18"/>
          <w:color w:val="231F20"/>
        </w:rPr>
        <w:t>” means those Offerings under the Plan, together with the sub- 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231F20"/>
        </w:rPr>
        <w:t>2.18 “</w:t>
      </w:r>
      <w:r>
        <w:rPr>
          <w:rFonts w:ascii="Arial" w:cs="Arial" w:eastAsia="Arial" w:hAnsi="Arial"/>
          <w:sz w:val="17"/>
          <w:szCs w:val="17"/>
          <w:b w:val="1"/>
          <w:bCs w:val="1"/>
          <w:i w:val="1"/>
          <w:iCs w:val="1"/>
          <w:color w:val="231F20"/>
        </w:rPr>
        <w:t>Offering</w:t>
      </w:r>
      <w:r>
        <w:rPr>
          <w:rFonts w:ascii="Arial" w:cs="Arial" w:eastAsia="Arial" w:hAnsi="Arial"/>
          <w:sz w:val="17"/>
          <w:szCs w:val="17"/>
          <w:color w:val="231F20"/>
        </w:rPr>
        <w:t>” means an offer by the Company under the Plan to Eligible Employees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Treasury Regulation Section 1.423-2(a)(1), the terms of each separate Offering under the Section 423 Component need not be identical, provided that the terms of the Section 423 Component and an Offering thereunder together satisfy Treasury Regulation Section 1.423-2(a)(2) and (a)(3).</w:t>
      </w:r>
    </w:p>
    <w:p>
      <w:pPr>
        <w:spacing w:after="0" w:line="17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2.19</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Offering Document</w:t>
      </w:r>
      <w:r>
        <w:rPr>
          <w:rFonts w:ascii="Arial" w:cs="Arial" w:eastAsia="Arial" w:hAnsi="Arial"/>
          <w:sz w:val="16"/>
          <w:szCs w:val="16"/>
          <w:color w:val="231F20"/>
        </w:rPr>
        <w:t>” has the meaning given to such term in Section 4.1.</w:t>
      </w:r>
    </w:p>
    <w:p>
      <w:pPr>
        <w:spacing w:after="0" w:line="22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2.20</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Offering Period</w:t>
      </w:r>
      <w:r>
        <w:rPr>
          <w:rFonts w:ascii="Arial" w:cs="Arial" w:eastAsia="Arial" w:hAnsi="Arial"/>
          <w:sz w:val="16"/>
          <w:szCs w:val="16"/>
          <w:color w:val="231F20"/>
        </w:rPr>
        <w:t>” has the meaning given to such term in Section 4.1.</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231F20"/>
        </w:rPr>
        <w:t>2.21 “</w:t>
      </w:r>
      <w:r>
        <w:rPr>
          <w:rFonts w:ascii="Arial" w:cs="Arial" w:eastAsia="Arial" w:hAnsi="Arial"/>
          <w:sz w:val="18"/>
          <w:szCs w:val="18"/>
          <w:b w:val="1"/>
          <w:bCs w:val="1"/>
          <w:i w:val="1"/>
          <w:iCs w:val="1"/>
          <w:color w:val="231F20"/>
        </w:rPr>
        <w:t>Parent</w:t>
      </w:r>
      <w:r>
        <w:rPr>
          <w:rFonts w:ascii="Arial" w:cs="Arial" w:eastAsia="Arial" w:hAnsi="Arial"/>
          <w:sz w:val="18"/>
          <w:szCs w:val="18"/>
          <w:color w:val="231F20"/>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2.22 “</w:t>
      </w:r>
      <w:r>
        <w:rPr>
          <w:rFonts w:ascii="Arial" w:cs="Arial" w:eastAsia="Arial" w:hAnsi="Arial"/>
          <w:sz w:val="18"/>
          <w:szCs w:val="18"/>
          <w:b w:val="1"/>
          <w:bCs w:val="1"/>
          <w:i w:val="1"/>
          <w:iCs w:val="1"/>
          <w:color w:val="231F20"/>
        </w:rPr>
        <w:t>Participant</w:t>
      </w:r>
      <w:r>
        <w:rPr>
          <w:rFonts w:ascii="Arial" w:cs="Arial" w:eastAsia="Arial" w:hAnsi="Arial"/>
          <w:sz w:val="18"/>
          <w:szCs w:val="18"/>
          <w:color w:val="231F20"/>
        </w:rPr>
        <w:t>” means any Eligible Employee who has executed a subscription agreement and been granted rights to purchase Shares pursuant to the Plan.</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 xml:space="preserve">2.23 </w:t>
      </w:r>
      <w:r>
        <w:rPr>
          <w:rFonts w:ascii="Arial" w:cs="Arial" w:eastAsia="Arial" w:hAnsi="Arial"/>
          <w:sz w:val="18"/>
          <w:szCs w:val="18"/>
          <w:i w:val="1"/>
          <w:iCs w:val="1"/>
          <w:color w:val="231F20"/>
        </w:rPr>
        <w:t>“</w:t>
      </w:r>
      <w:r>
        <w:rPr>
          <w:rFonts w:ascii="Arial" w:cs="Arial" w:eastAsia="Arial" w:hAnsi="Arial"/>
          <w:sz w:val="18"/>
          <w:szCs w:val="18"/>
          <w:b w:val="1"/>
          <w:bCs w:val="1"/>
          <w:i w:val="1"/>
          <w:iCs w:val="1"/>
          <w:color w:val="231F20"/>
        </w:rPr>
        <w:t>Plan</w:t>
      </w:r>
      <w:r>
        <w:rPr>
          <w:rFonts w:ascii="Arial" w:cs="Arial" w:eastAsia="Arial" w:hAnsi="Arial"/>
          <w:sz w:val="18"/>
          <w:szCs w:val="18"/>
          <w:color w:val="231F20"/>
        </w:rPr>
        <w:t>” means this The Oncology Institute, Inc. 2021 Employee Stock Purchase Plan, including both the Section 423 Component and Non-Section 423 Component and any other sub-plans or appendices hereto, as amended from time to time.</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231F20"/>
        </w:rPr>
        <w:t>2.24 “</w:t>
      </w:r>
      <w:r>
        <w:rPr>
          <w:rFonts w:ascii="Arial" w:cs="Arial" w:eastAsia="Arial" w:hAnsi="Arial"/>
          <w:sz w:val="18"/>
          <w:szCs w:val="18"/>
          <w:b w:val="1"/>
          <w:bCs w:val="1"/>
          <w:i w:val="1"/>
          <w:iCs w:val="1"/>
          <w:color w:val="231F20"/>
        </w:rPr>
        <w:t>Purchase Date</w:t>
      </w:r>
      <w:r>
        <w:rPr>
          <w:rFonts w:ascii="Arial" w:cs="Arial" w:eastAsia="Arial" w:hAnsi="Arial"/>
          <w:sz w:val="18"/>
          <w:szCs w:val="18"/>
          <w:color w:val="231F20"/>
        </w:rPr>
        <w:t>” means the last Trading Day of each Purchase Period or such other date as determined by the Administrator and set forth in the Offering Document.</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231F20"/>
        </w:rPr>
        <w:t>2.25 “</w:t>
      </w:r>
      <w:r>
        <w:rPr>
          <w:rFonts w:ascii="Arial" w:cs="Arial" w:eastAsia="Arial" w:hAnsi="Arial"/>
          <w:sz w:val="18"/>
          <w:szCs w:val="18"/>
          <w:b w:val="1"/>
          <w:bCs w:val="1"/>
          <w:i w:val="1"/>
          <w:iCs w:val="1"/>
          <w:color w:val="231F20"/>
        </w:rPr>
        <w:t>Purchase Period</w:t>
      </w:r>
      <w:r>
        <w:rPr>
          <w:rFonts w:ascii="Arial" w:cs="Arial" w:eastAsia="Arial" w:hAnsi="Arial"/>
          <w:sz w:val="18"/>
          <w:szCs w:val="18"/>
          <w:color w:val="231F20"/>
        </w:rPr>
        <w:t xml:space="preserve">” shall refer to one or more specified periods within an Offering Period, as designated in the applicable Offering Document;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if no Purchase Period is designated by the Administrator in the applicable Offering Document, the Purchase Period for each Offering Period covered by such Offering Document shall be the same as the applicable Offering Period.</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231F20"/>
        </w:rPr>
        <w:t>2.26 “</w:t>
      </w:r>
      <w:r>
        <w:rPr>
          <w:rFonts w:ascii="Arial" w:cs="Arial" w:eastAsia="Arial" w:hAnsi="Arial"/>
          <w:sz w:val="18"/>
          <w:szCs w:val="18"/>
          <w:b w:val="1"/>
          <w:bCs w:val="1"/>
          <w:i w:val="1"/>
          <w:iCs w:val="1"/>
          <w:color w:val="231F20"/>
        </w:rPr>
        <w:t>Purchase Price</w:t>
      </w:r>
      <w:r>
        <w:rPr>
          <w:rFonts w:ascii="Arial" w:cs="Arial" w:eastAsia="Arial" w:hAnsi="Arial"/>
          <w:sz w:val="18"/>
          <w:szCs w:val="18"/>
          <w:color w:val="231F20"/>
        </w:rPr>
        <w:t xml:space="preserve">” means the purchase price designated by the Administrator in the applicable Offering Document (which purchase price, for purposes of the Plan, shall not be less than 85% of the Fair Market Value of a Share on the Enrollment Date or on the Purchase Date, whichever is lower);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if no purchase price is designated by the Administrator in the applicable Offering Document, the purchase price for the Offering</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Periods covered by such Offering Document shall be 85% of the Fair Market Value of a Share on the Enrollment Date or on the Purchase Date, whichever is lower; </w:t>
      </w:r>
      <w:r>
        <w:rPr>
          <w:rFonts w:ascii="Arial" w:cs="Arial" w:eastAsia="Arial" w:hAnsi="Arial"/>
          <w:sz w:val="18"/>
          <w:szCs w:val="18"/>
          <w:i w:val="1"/>
          <w:iCs w:val="1"/>
          <w:color w:val="231F20"/>
        </w:rPr>
        <w:t>provided, further</w:t>
      </w:r>
      <w:r>
        <w:rPr>
          <w:rFonts w:ascii="Arial" w:cs="Arial" w:eastAsia="Arial" w:hAnsi="Arial"/>
          <w:sz w:val="18"/>
          <w:szCs w:val="18"/>
          <w:color w:val="231F20"/>
        </w:rPr>
        <w:t>, that the Purchase Price may be adjusted by the Administrator pursuant to Article VIII and shall not be less than the par value of a Share.</w:t>
      </w:r>
    </w:p>
    <w:p>
      <w:pPr>
        <w:spacing w:after="0" w:line="19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231F20"/>
        </w:rPr>
        <w:t>2.27 “</w:t>
      </w:r>
      <w:r>
        <w:rPr>
          <w:rFonts w:ascii="Arial" w:cs="Arial" w:eastAsia="Arial" w:hAnsi="Arial"/>
          <w:sz w:val="18"/>
          <w:szCs w:val="18"/>
          <w:b w:val="1"/>
          <w:bCs w:val="1"/>
          <w:i w:val="1"/>
          <w:iCs w:val="1"/>
          <w:color w:val="231F20"/>
        </w:rPr>
        <w:t>Section 423 Component</w:t>
      </w:r>
      <w:r>
        <w:rPr>
          <w:rFonts w:ascii="Arial" w:cs="Arial" w:eastAsia="Arial" w:hAnsi="Arial"/>
          <w:sz w:val="18"/>
          <w:szCs w:val="18"/>
          <w:color w:val="231F20"/>
        </w:rPr>
        <w:t>” means those Offerings under the Plan, together with the sub-plans, appendices, rules or procedures, if any, adopted by the Administrator as a part of this Plan or any Offering(s),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9" w:name="page90"/>
    <w:bookmarkEnd w:id="89"/>
    <w:p>
      <w:pPr>
        <w:ind w:left="340"/>
        <w:spacing w:after="0"/>
        <w:tabs>
          <w:tab w:leader="none" w:pos="1080" w:val="left"/>
        </w:tabs>
        <w:rPr>
          <w:sz w:val="20"/>
          <w:szCs w:val="20"/>
          <w:color w:val="auto"/>
        </w:rPr>
      </w:pPr>
      <w:r>
        <w:rPr>
          <w:rFonts w:ascii="Arial" w:cs="Arial" w:eastAsia="Arial" w:hAnsi="Arial"/>
          <w:sz w:val="18"/>
          <w:szCs w:val="18"/>
          <w:color w:val="231F20"/>
        </w:rPr>
        <w:t>2.28</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Securities Act</w:t>
      </w:r>
      <w:r>
        <w:rPr>
          <w:rFonts w:ascii="Arial" w:cs="Arial" w:eastAsia="Arial" w:hAnsi="Arial"/>
          <w:sz w:val="16"/>
          <w:szCs w:val="16"/>
          <w:color w:val="231F20"/>
        </w:rPr>
        <w:t>” means the U.S. Securities Act of 1933, as amended.</w:t>
      </w:r>
    </w:p>
    <w:p>
      <w:pPr>
        <w:spacing w:after="0" w:line="22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2.29</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Share</w:t>
      </w:r>
      <w:r>
        <w:rPr>
          <w:rFonts w:ascii="Arial" w:cs="Arial" w:eastAsia="Arial" w:hAnsi="Arial"/>
          <w:sz w:val="16"/>
          <w:szCs w:val="16"/>
          <w:color w:val="231F20"/>
        </w:rPr>
        <w:t>” means a share of shares of Class A common stock, par value $0.0001 per share, of the Company..</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231F20"/>
        </w:rPr>
        <w:t>2.30 “</w:t>
      </w:r>
      <w:r>
        <w:rPr>
          <w:rFonts w:ascii="Arial" w:cs="Arial" w:eastAsia="Arial" w:hAnsi="Arial"/>
          <w:sz w:val="16"/>
          <w:szCs w:val="16"/>
          <w:b w:val="1"/>
          <w:bCs w:val="1"/>
          <w:i w:val="1"/>
          <w:iCs w:val="1"/>
          <w:color w:val="231F20"/>
        </w:rPr>
        <w:t>Subsidiary</w:t>
      </w:r>
      <w:r>
        <w:rPr>
          <w:rFonts w:ascii="Arial" w:cs="Arial" w:eastAsia="Arial" w:hAnsi="Arial"/>
          <w:sz w:val="16"/>
          <w:szCs w:val="16"/>
          <w:color w:val="231F20"/>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6"/>
          <w:szCs w:val="16"/>
          <w:i w:val="1"/>
          <w:iCs w:val="1"/>
          <w:color w:val="231F20"/>
        </w:rPr>
        <w:t>provided</w:t>
      </w:r>
      <w:r>
        <w:rPr>
          <w:rFonts w:ascii="Arial" w:cs="Arial" w:eastAsia="Arial" w:hAnsi="Arial"/>
          <w:sz w:val="16"/>
          <w:szCs w:val="16"/>
          <w:color w:val="231F20"/>
        </w:rPr>
        <w:t>, however, that a limited liability company or partnership may be treated as a Subsidiary to the extent either (a) such entity is treated as a disregarded entity under Treasury Regulation Section 301.7701-</w:t>
      </w:r>
    </w:p>
    <w:p>
      <w:pPr>
        <w:spacing w:after="0" w:line="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231F20"/>
        </w:rPr>
        <w:t>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and any business, corporation, partnership, limited liability company or other entity designated by the Board, which the Company or a Subsidiary controls, directly or indirectly, through one or more intermediaries.</w:t>
      </w:r>
    </w:p>
    <w:p>
      <w:pPr>
        <w:spacing w:after="0" w:line="16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2.31</w:t>
      </w:r>
      <w:r>
        <w:rPr>
          <w:sz w:val="20"/>
          <w:szCs w:val="20"/>
          <w:color w:val="auto"/>
        </w:rPr>
        <w:tab/>
      </w:r>
      <w:r>
        <w:rPr>
          <w:rFonts w:ascii="Arial" w:cs="Arial" w:eastAsia="Arial" w:hAnsi="Arial"/>
          <w:sz w:val="16"/>
          <w:szCs w:val="16"/>
          <w:color w:val="231F20"/>
        </w:rPr>
        <w:t>“</w:t>
      </w:r>
      <w:r>
        <w:rPr>
          <w:rFonts w:ascii="Arial" w:cs="Arial" w:eastAsia="Arial" w:hAnsi="Arial"/>
          <w:sz w:val="16"/>
          <w:szCs w:val="16"/>
          <w:b w:val="1"/>
          <w:bCs w:val="1"/>
          <w:i w:val="1"/>
          <w:iCs w:val="1"/>
          <w:color w:val="231F20"/>
        </w:rPr>
        <w:t>Trading Day</w:t>
      </w:r>
      <w:r>
        <w:rPr>
          <w:rFonts w:ascii="Arial" w:cs="Arial" w:eastAsia="Arial" w:hAnsi="Arial"/>
          <w:sz w:val="16"/>
          <w:szCs w:val="16"/>
          <w:color w:val="231F20"/>
        </w:rPr>
        <w:t>” means a day on which national stock exchanges in the United States are open for trading.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SHARES SUBJECT TO THE PLAN</w:t>
      </w:r>
    </w:p>
    <w:p>
      <w:pPr>
        <w:spacing w:after="0" w:line="21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231F20"/>
        </w:rPr>
        <w:t xml:space="preserve">3.1 </w:t>
      </w:r>
      <w:r>
        <w:rPr>
          <w:rFonts w:ascii="Arial" w:cs="Arial" w:eastAsia="Arial" w:hAnsi="Arial"/>
          <w:sz w:val="16"/>
          <w:szCs w:val="16"/>
          <w:u w:val="single" w:color="auto"/>
          <w:color w:val="231F20"/>
        </w:rPr>
        <w:t>Number of Shares</w:t>
      </w:r>
      <w:r>
        <w:rPr>
          <w:rFonts w:ascii="Arial" w:cs="Arial" w:eastAsia="Arial" w:hAnsi="Arial"/>
          <w:sz w:val="16"/>
          <w:szCs w:val="16"/>
          <w:color w:val="231F20"/>
        </w:rPr>
        <w:t>. Subject to Article VIII, the aggregate number of Shares that may be issued pursuant to rights granted under the Plan shall be a number of Shares equal to one percent (1%) of the aggregate number of shares of Common Stock outstanding on a fully diluted basis, as determined at the Effective Date, plus, on the first day of each calendar year beginning on January 1, 2022 and ending on and including January 1, 2031, the number of Shares available for issuance under the Plan shall be increased by that number of Shares equal to the lesser of (a) 1% of the aggregate number of shares of Common Stock outstanding calculated on a fully diluted basis, on the final day of the immediately preceding calendar year and (b) such smaller number of Shares as determined by the Board (the “</w:t>
      </w:r>
      <w:r>
        <w:rPr>
          <w:rFonts w:ascii="Arial" w:cs="Arial" w:eastAsia="Arial" w:hAnsi="Arial"/>
          <w:sz w:val="16"/>
          <w:szCs w:val="16"/>
          <w:u w:val="single" w:color="auto"/>
          <w:color w:val="231F20"/>
        </w:rPr>
        <w:t>Overall Share Limit</w:t>
      </w:r>
      <w:r>
        <w:rPr>
          <w:rFonts w:ascii="Arial" w:cs="Arial" w:eastAsia="Arial" w:hAnsi="Arial"/>
          <w:sz w:val="16"/>
          <w:szCs w:val="16"/>
          <w:color w:val="231F20"/>
        </w:rPr>
        <w:t>”). For this purpose, the number of shares of Common Stock outstanding will be calculated as if all options and stock appreciation rights issued and outstanding were exercised in full, and all restricted stock units were issued and outstanding shares of Common Stock. If any right granted under the Plan shall for any reason terminate without having been exercised, the Shares not purchased under such right shall again become available for issuance under the Plan. Subject to the Overall Share Limit and Article VIII, the number of Shares that may be issued or transferred pursuant to the rights granted under the Section 423 Component of the Plan shall not exceed an aggregate of one percent (1%) of the aggregate number of shares of Common Stock outstanding on a fully diluted basis, as determined at the Effective Date.</w:t>
      </w:r>
    </w:p>
    <w:p>
      <w:pPr>
        <w:spacing w:after="0" w:line="17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231F20"/>
        </w:rPr>
        <w:t xml:space="preserve">3.2 </w:t>
      </w:r>
      <w:r>
        <w:rPr>
          <w:rFonts w:ascii="Arial" w:cs="Arial" w:eastAsia="Arial" w:hAnsi="Arial"/>
          <w:sz w:val="18"/>
          <w:szCs w:val="18"/>
          <w:u w:val="single" w:color="auto"/>
          <w:color w:val="231F20"/>
        </w:rPr>
        <w:t>Shares Distributed</w:t>
      </w:r>
      <w:r>
        <w:rPr>
          <w:rFonts w:ascii="Arial" w:cs="Arial" w:eastAsia="Arial" w:hAnsi="Arial"/>
          <w:sz w:val="18"/>
          <w:szCs w:val="18"/>
          <w:color w:val="231F20"/>
        </w:rPr>
        <w:t>. Any Shares distributed pursuant to the Plan may consist, in whole or in part, of authorized and unissued Shares, treasury shares or Shares purchased on the open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OFFERING PERIODS; OFFERING DOCUMENTS; PURCHASE DATES</w:t>
      </w:r>
    </w:p>
    <w:p>
      <w:pPr>
        <w:spacing w:after="0" w:line="21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231F20"/>
        </w:rPr>
        <w:t xml:space="preserve">4.1 </w:t>
      </w:r>
      <w:r>
        <w:rPr>
          <w:rFonts w:ascii="Arial" w:cs="Arial" w:eastAsia="Arial" w:hAnsi="Arial"/>
          <w:sz w:val="17"/>
          <w:szCs w:val="17"/>
          <w:u w:val="single" w:color="auto"/>
          <w:color w:val="231F20"/>
        </w:rPr>
        <w:t>Offering Periods</w:t>
      </w:r>
      <w:r>
        <w:rPr>
          <w:rFonts w:ascii="Arial" w:cs="Arial" w:eastAsia="Arial" w:hAnsi="Arial"/>
          <w:sz w:val="17"/>
          <w:szCs w:val="17"/>
          <w:color w:val="231F20"/>
        </w:rPr>
        <w:t>. The Administrator may from time to time grant or provide for the grant of rights to purchase Shares under the Plan to Eligible Employees during one or more periods (each, an “</w:t>
      </w:r>
      <w:r>
        <w:rPr>
          <w:rFonts w:ascii="Arial" w:cs="Arial" w:eastAsia="Arial" w:hAnsi="Arial"/>
          <w:sz w:val="17"/>
          <w:szCs w:val="17"/>
          <w:b w:val="1"/>
          <w:bCs w:val="1"/>
          <w:i w:val="1"/>
          <w:iCs w:val="1"/>
          <w:color w:val="231F20"/>
        </w:rPr>
        <w:t>Offering Period</w:t>
      </w:r>
      <w:r>
        <w:rPr>
          <w:rFonts w:ascii="Arial" w:cs="Arial" w:eastAsia="Arial" w:hAnsi="Arial"/>
          <w:sz w:val="17"/>
          <w:szCs w:val="17"/>
          <w:color w:val="231F20"/>
        </w:rPr>
        <w:t>”) selected by the Administrator. The terms and conditions applicable to each Offering Period shall be set forth in an “</w:t>
      </w:r>
      <w:r>
        <w:rPr>
          <w:rFonts w:ascii="Arial" w:cs="Arial" w:eastAsia="Arial" w:hAnsi="Arial"/>
          <w:sz w:val="17"/>
          <w:szCs w:val="17"/>
          <w:b w:val="1"/>
          <w:bCs w:val="1"/>
          <w:i w:val="1"/>
          <w:iCs w:val="1"/>
          <w:color w:val="231F20"/>
        </w:rPr>
        <w:t>Offering Document</w:t>
      </w:r>
      <w:r>
        <w:rPr>
          <w:rFonts w:ascii="Arial" w:cs="Arial" w:eastAsia="Arial" w:hAnsi="Arial"/>
          <w:sz w:val="17"/>
          <w:szCs w:val="17"/>
          <w:color w:val="231F20"/>
        </w:rPr>
        <w:t>” adopted by the Administrator from time to time, which Offering Document shall be in such form and shall contain such terms and conditions as the Administrator shall deem appropriate and shall be incorporated by reference into and made part of the Plan. The Administrator shall establish in each Offering Document one or more Purchase Periods within such Offering Period during which rights granted under the Plan shall be exercised and purchases of Shares carried out in accordance with such Offering Document and the Plan. The provisions of separate Offerings or Offering Periods under the Plan may be partially or wholly concurrent and need not be identical.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ind w:right="140" w:firstLine="324"/>
        <w:spacing w:after="0" w:line="277" w:lineRule="auto"/>
        <w:rPr>
          <w:sz w:val="20"/>
          <w:szCs w:val="20"/>
          <w:color w:val="auto"/>
        </w:rPr>
      </w:pPr>
      <w:r>
        <w:rPr>
          <w:rFonts w:ascii="Arial" w:cs="Arial" w:eastAsia="Arial" w:hAnsi="Arial"/>
          <w:sz w:val="18"/>
          <w:szCs w:val="18"/>
          <w:color w:val="231F20"/>
        </w:rPr>
        <w:t xml:space="preserve">4.2 </w:t>
      </w:r>
      <w:r>
        <w:rPr>
          <w:rFonts w:ascii="Arial" w:cs="Arial" w:eastAsia="Arial" w:hAnsi="Arial"/>
          <w:sz w:val="18"/>
          <w:szCs w:val="18"/>
          <w:u w:val="single" w:color="auto"/>
          <w:color w:val="231F20"/>
        </w:rPr>
        <w:t>Offering Documents</w:t>
      </w:r>
      <w:r>
        <w:rPr>
          <w:rFonts w:ascii="Arial" w:cs="Arial" w:eastAsia="Arial" w:hAnsi="Arial"/>
          <w:sz w:val="18"/>
          <w:szCs w:val="18"/>
          <w:color w:val="231F20"/>
        </w:rPr>
        <w:t>. Each Offering Document with respect to an Offering Period shall specify (through incorporation of the provisions of this Plan by reference or otherwise):</w:t>
      </w:r>
    </w:p>
    <w:p>
      <w:pPr>
        <w:spacing w:after="0" w:line="170" w:lineRule="exact"/>
        <w:rPr>
          <w:sz w:val="20"/>
          <w:szCs w:val="20"/>
          <w:color w:val="auto"/>
        </w:rPr>
      </w:pPr>
    </w:p>
    <w:p>
      <w:pPr>
        <w:ind w:left="1680" w:hanging="700"/>
        <w:spacing w:after="0"/>
        <w:tabs>
          <w:tab w:leader="none" w:pos="168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length of the Offering Period, which period shall not exceed 27 months;</w:t>
      </w:r>
    </w:p>
    <w:p>
      <w:pPr>
        <w:spacing w:after="0" w:line="225" w:lineRule="exact"/>
        <w:rPr>
          <w:rFonts w:ascii="Arial" w:cs="Arial" w:eastAsia="Arial" w:hAnsi="Arial"/>
          <w:sz w:val="18"/>
          <w:szCs w:val="18"/>
          <w:color w:val="231F20"/>
        </w:rPr>
      </w:pPr>
    </w:p>
    <w:p>
      <w:pPr>
        <w:ind w:left="340" w:right="280" w:firstLine="640"/>
        <w:spacing w:after="0" w:line="277" w:lineRule="auto"/>
        <w:tabs>
          <w:tab w:leader="none" w:pos="1738"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length of the Purchase Period(s) within the Offering Period, which period(s), in the absence of a contrary designation by the Administrator, shall not exceed 27 months;</w:t>
      </w:r>
    </w:p>
    <w:p>
      <w:pPr>
        <w:spacing w:after="0" w:line="170" w:lineRule="exact"/>
        <w:rPr>
          <w:rFonts w:ascii="Arial" w:cs="Arial" w:eastAsia="Arial" w:hAnsi="Arial"/>
          <w:sz w:val="18"/>
          <w:szCs w:val="18"/>
          <w:color w:val="231F20"/>
        </w:rPr>
      </w:pPr>
    </w:p>
    <w:p>
      <w:pPr>
        <w:ind w:left="340" w:right="40" w:firstLine="640"/>
        <w:spacing w:after="0" w:line="259" w:lineRule="auto"/>
        <w:tabs>
          <w:tab w:leader="none" w:pos="1727"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in connection with each Offering Period that contains more than one Purchase Period, the maximum aggregate number of Shares which may be purchased by any Eligible Employee during each Purchase Period (if applicable), which, in the absence of a contrary designation by the Administrator, shall be 100,000 Shares (and which, for the Section 423 Component Offering Periods, shall be subject to the limitations described in Section 5.5 below);</w:t>
      </w:r>
    </w:p>
    <w:p>
      <w:pPr>
        <w:spacing w:after="0" w:line="186" w:lineRule="exact"/>
        <w:rPr>
          <w:rFonts w:ascii="Arial" w:cs="Arial" w:eastAsia="Arial" w:hAnsi="Arial"/>
          <w:sz w:val="18"/>
          <w:szCs w:val="18"/>
          <w:color w:val="231F20"/>
        </w:rPr>
      </w:pPr>
    </w:p>
    <w:p>
      <w:pPr>
        <w:jc w:val="both"/>
        <w:ind w:left="340" w:right="380" w:firstLine="640"/>
        <w:spacing w:after="0" w:line="263" w:lineRule="auto"/>
        <w:tabs>
          <w:tab w:leader="none" w:pos="1738"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maximum number of Shares that may be purchased by any Eligible Employee during such Offering Period (if applicable), which, in the absence of a contrary designation by the Administrator, shall be 20,000 Shares (and which, for the Section 423 Component Offering Periods, shall be subject to the limitations described in Section 5.5 below); and</w:t>
      </w:r>
    </w:p>
    <w:p>
      <w:pPr>
        <w:spacing w:after="0" w:line="183" w:lineRule="exact"/>
        <w:rPr>
          <w:rFonts w:ascii="Arial" w:cs="Arial" w:eastAsia="Arial" w:hAnsi="Arial"/>
          <w:sz w:val="18"/>
          <w:szCs w:val="18"/>
          <w:color w:val="231F20"/>
        </w:rPr>
      </w:pPr>
    </w:p>
    <w:p>
      <w:pPr>
        <w:ind w:left="1720" w:hanging="740"/>
        <w:spacing w:after="0"/>
        <w:tabs>
          <w:tab w:leader="none" w:pos="17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such other provisions as the Administrator determines are appropriate, subject to the Plan.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ELIGIBILITY AND PARTICIPATION</w:t>
      </w:r>
    </w:p>
    <w:p>
      <w:pPr>
        <w:spacing w:after="0" w:line="21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231F20"/>
        </w:rPr>
        <w:t xml:space="preserve">5.1 </w:t>
      </w:r>
      <w:r>
        <w:rPr>
          <w:rFonts w:ascii="Arial" w:cs="Arial" w:eastAsia="Arial" w:hAnsi="Arial"/>
          <w:sz w:val="18"/>
          <w:szCs w:val="18"/>
          <w:u w:val="single" w:color="auto"/>
          <w:color w:val="231F20"/>
        </w:rPr>
        <w:t>Eligibility</w:t>
      </w:r>
      <w:r>
        <w:rPr>
          <w:rFonts w:ascii="Arial" w:cs="Arial" w:eastAsia="Arial" w:hAnsi="Arial"/>
          <w:sz w:val="18"/>
          <w:szCs w:val="18"/>
          <w:color w:val="231F20"/>
        </w:rPr>
        <w:t>. Any Eligible Employee who shall be employed by the Company or a Designated Subsidiary on a given Enrollment Date for an Offering Period shall be eligible to participate in the Plan during such Offering Period, subject to the applicable requirements of this Article V and, for the Section 423 Component, the limitations imposed by Section 423(b) of the Code.</w:t>
      </w:r>
    </w:p>
    <w:p>
      <w:pPr>
        <w:spacing w:after="0" w:line="184"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231F20"/>
        </w:rPr>
        <w:t>5.2</w:t>
      </w:r>
      <w:r>
        <w:rPr>
          <w:sz w:val="20"/>
          <w:szCs w:val="20"/>
          <w:color w:val="auto"/>
        </w:rPr>
        <w:tab/>
      </w:r>
      <w:r>
        <w:rPr>
          <w:rFonts w:ascii="Arial" w:cs="Arial" w:eastAsia="Arial" w:hAnsi="Arial"/>
          <w:sz w:val="16"/>
          <w:szCs w:val="16"/>
          <w:u w:val="single" w:color="auto"/>
          <w:color w:val="231F20"/>
        </w:rPr>
        <w:t>Enrollment in Plan</w:t>
      </w:r>
      <w:r>
        <w:rPr>
          <w:rFonts w:ascii="Arial" w:cs="Arial" w:eastAsia="Arial" w:hAnsi="Arial"/>
          <w:sz w:val="16"/>
          <w:szCs w:val="16"/>
          <w:color w:val="231F20"/>
        </w:rPr>
        <w:t>.</w:t>
      </w:r>
    </w:p>
    <w:p>
      <w:pPr>
        <w:spacing w:after="0" w:line="225" w:lineRule="exact"/>
        <w:rPr>
          <w:sz w:val="20"/>
          <w:szCs w:val="20"/>
          <w:color w:val="auto"/>
        </w:rPr>
      </w:pPr>
    </w:p>
    <w:p>
      <w:pPr>
        <w:ind w:left="340" w:right="200" w:firstLine="640"/>
        <w:spacing w:after="0" w:line="259" w:lineRule="auto"/>
        <w:tabs>
          <w:tab w:leader="none" w:pos="1727" w:val="left"/>
        </w:tabs>
        <w:numPr>
          <w:ilvl w:val="0"/>
          <w:numId w:val="65"/>
        </w:numPr>
        <w:rPr>
          <w:rFonts w:ascii="Arial" w:cs="Arial" w:eastAsia="Arial" w:hAnsi="Arial"/>
          <w:sz w:val="18"/>
          <w:szCs w:val="18"/>
          <w:color w:val="231F20"/>
        </w:rPr>
      </w:pPr>
      <w:r>
        <w:rPr>
          <w:rFonts w:ascii="Arial" w:cs="Arial" w:eastAsia="Arial" w:hAnsi="Arial"/>
          <w:sz w:val="18"/>
          <w:szCs w:val="18"/>
          <w:color w:val="231F20"/>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86" w:lineRule="exact"/>
        <w:rPr>
          <w:rFonts w:ascii="Arial" w:cs="Arial" w:eastAsia="Arial" w:hAnsi="Arial"/>
          <w:sz w:val="18"/>
          <w:szCs w:val="18"/>
          <w:color w:val="231F20"/>
        </w:rPr>
      </w:pPr>
    </w:p>
    <w:p>
      <w:pPr>
        <w:ind w:left="340" w:firstLine="640"/>
        <w:spacing w:after="0" w:line="288" w:lineRule="auto"/>
        <w:tabs>
          <w:tab w:leader="none" w:pos="1738" w:val="left"/>
        </w:tabs>
        <w:numPr>
          <w:ilvl w:val="0"/>
          <w:numId w:val="65"/>
        </w:numPr>
        <w:rPr>
          <w:rFonts w:ascii="Arial" w:cs="Arial" w:eastAsia="Arial" w:hAnsi="Arial"/>
          <w:sz w:val="16"/>
          <w:szCs w:val="16"/>
          <w:color w:val="231F20"/>
        </w:rPr>
      </w:pPr>
      <w:r>
        <w:rPr>
          <w:rFonts w:ascii="Arial" w:cs="Arial" w:eastAsia="Arial" w:hAnsi="Arial"/>
          <w:sz w:val="16"/>
          <w:szCs w:val="16"/>
          <w:color w:val="231F20"/>
        </w:rPr>
        <w:t xml:space="preserve">Subject to such minimum and maximum limitations as the Administrator may set for each Offering Period, each subscription agreement shall designate either (i) a whole percentage of such Eligible Employee’s Compensation or (ii) or a fixed dollar amount, in either case, to be withheld by the Company or the Designated Subsidiary employing such Eligible Employee on each payday during the Offering Period as payroll deductions under the Plan; </w:t>
      </w:r>
      <w:r>
        <w:rPr>
          <w:rFonts w:ascii="Arial" w:cs="Arial" w:eastAsia="Arial" w:hAnsi="Arial"/>
          <w:sz w:val="16"/>
          <w:szCs w:val="16"/>
          <w:i w:val="1"/>
          <w:iCs w:val="1"/>
          <w:color w:val="231F20"/>
        </w:rPr>
        <w:t>provided</w:t>
      </w:r>
      <w:r>
        <w:rPr>
          <w:rFonts w:ascii="Arial" w:cs="Arial" w:eastAsia="Arial" w:hAnsi="Arial"/>
          <w:sz w:val="16"/>
          <w:szCs w:val="16"/>
          <w:color w:val="231F20"/>
        </w:rPr>
        <w:t xml:space="preserve">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In absence of any designation by the Administrator in the Offering Documents, the designated percentage or fixed dollar amount may not be less than 1% and may not be more than 15% of the Participant’s Compensation for any payroll period. The payroll deductions made for each Participant shall be credited to an account for such Participant under the Plan and shall be deposited with the general funds of the Company.</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1" w:name="page92"/>
    <w:bookmarkEnd w:id="91"/>
    <w:p>
      <w:pPr>
        <w:ind w:left="340" w:firstLine="640"/>
        <w:spacing w:after="0" w:line="268" w:lineRule="auto"/>
        <w:tabs>
          <w:tab w:leader="none" w:pos="1727" w:val="left"/>
        </w:tabs>
        <w:numPr>
          <w:ilvl w:val="0"/>
          <w:numId w:val="66"/>
        </w:numPr>
        <w:rPr>
          <w:rFonts w:ascii="Arial" w:cs="Arial" w:eastAsia="Arial" w:hAnsi="Arial"/>
          <w:sz w:val="17"/>
          <w:szCs w:val="17"/>
          <w:i w:val="1"/>
          <w:iCs w:val="1"/>
          <w:color w:val="231F20"/>
        </w:rPr>
      </w:pPr>
      <w:r>
        <w:rPr>
          <w:rFonts w:ascii="Arial" w:cs="Arial" w:eastAsia="Arial" w:hAnsi="Arial"/>
          <w:sz w:val="17"/>
          <w:szCs w:val="17"/>
          <w:color w:val="231F20"/>
        </w:rPr>
        <w:t xml:space="preserve">Unless otherwise provided in the terms of an Offering Document, a Participant may increase or decrease the percentage of Compensation or the fixed dollar amount designated in his or her subscription agreement, subject to the limits set by the Administrator in the Offering Document, or may suspend his or her payroll deductions, in any case, at any time during an Offering Period; </w:t>
      </w:r>
      <w:r>
        <w:rPr>
          <w:rFonts w:ascii="Arial" w:cs="Arial" w:eastAsia="Arial" w:hAnsi="Arial"/>
          <w:sz w:val="17"/>
          <w:szCs w:val="17"/>
          <w:i w:val="1"/>
          <w:iCs w:val="1"/>
          <w:color w:val="231F20"/>
        </w:rPr>
        <w:t>provided, however</w:t>
      </w:r>
      <w:r>
        <w:rPr>
          <w:rFonts w:ascii="Arial" w:cs="Arial" w:eastAsia="Arial" w:hAnsi="Arial"/>
          <w:sz w:val="17"/>
          <w:szCs w:val="17"/>
          <w:color w:val="231F20"/>
        </w:rPr>
        <w:t>, that the Administrator may limit or eliminate the type or number of changes a Participant may make to his or her payroll deduction elections during each Offering Period in the applicable Offering Document (and in the absence of any specific designation by the Administrator, a Participant shall be allowed to decrease, increase or suspend his or her payroll deduction elections, in each case, once during each Purchase Period). Any such change or suspension of payroll deductions shall be effective with the first full payroll period starting at least two calendar weeks after the Company’s receipt of the new subscription agreement (or such shorter or longer period as may be specified by the Administrator in the applicable Offering Document). If a Participant suspends his or her payroll deductions during an Offering Period: (i) such Participant’s cumulative unapplied payroll deductions prior to the suspension (if any) shall be refunded to such Participant as soon as practicable after such suspension (but no later than 30 days thereafter), and (ii) such Participant shall be deemed to have withdrawn from the Offering Period for all purposes upon such Purchase Date (and shall be eligible to enroll in any Offering Period commencing on or after such Purchase Date if he or she remains an Eligible Employee as of the start of any such subsequent Offering Period and timely submits a valid election to participate). For clarity, if a Participant who suspends participation in an Offering Period ceases to be an Eligible Employee or he or she withdraws from participation in such Offering Period, in either case, prior to the Purchase Date next-following his or her suspension of participation in the Offering Period, in any case, such Participant’s cumulative unapplied payroll deductions shall be returned to him or her in accordance with Article VII.</w:t>
      </w:r>
    </w:p>
    <w:p>
      <w:pPr>
        <w:spacing w:after="0" w:line="179" w:lineRule="exact"/>
        <w:rPr>
          <w:rFonts w:ascii="Arial" w:cs="Arial" w:eastAsia="Arial" w:hAnsi="Arial"/>
          <w:sz w:val="17"/>
          <w:szCs w:val="17"/>
          <w:i w:val="1"/>
          <w:iCs w:val="1"/>
          <w:color w:val="231F20"/>
        </w:rPr>
      </w:pPr>
    </w:p>
    <w:p>
      <w:pPr>
        <w:ind w:left="340" w:right="180" w:firstLine="640"/>
        <w:spacing w:after="0" w:line="342" w:lineRule="auto"/>
        <w:tabs>
          <w:tab w:leader="none" w:pos="1738" w:val="left"/>
        </w:tabs>
        <w:numPr>
          <w:ilvl w:val="0"/>
          <w:numId w:val="66"/>
        </w:numPr>
        <w:rPr>
          <w:rFonts w:ascii="Arial" w:cs="Arial" w:eastAsia="Arial" w:hAnsi="Arial"/>
          <w:sz w:val="16"/>
          <w:szCs w:val="16"/>
          <w:color w:val="231F20"/>
        </w:rPr>
      </w:pPr>
      <w:r>
        <w:rPr>
          <w:rFonts w:ascii="Arial" w:cs="Arial" w:eastAsia="Arial" w:hAnsi="Arial"/>
          <w:sz w:val="16"/>
          <w:szCs w:val="16"/>
          <w:color w:val="231F20"/>
        </w:rPr>
        <w:t>Except as otherwise set forth in herein or in an Offering Document or as otherwise determined by the Administrator, a Participant may participate in the Plan only by means of payroll deduction and may not make contributions by lump sum payment for any Offering Period.</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 xml:space="preserve">5.3 </w:t>
      </w:r>
      <w:r>
        <w:rPr>
          <w:rFonts w:ascii="Arial" w:cs="Arial" w:eastAsia="Arial" w:hAnsi="Arial"/>
          <w:sz w:val="17"/>
          <w:szCs w:val="17"/>
          <w:u w:val="single" w:color="auto"/>
          <w:color w:val="231F20"/>
        </w:rPr>
        <w:t>Payroll Deductions</w:t>
      </w:r>
      <w:r>
        <w:rPr>
          <w:rFonts w:ascii="Arial" w:cs="Arial" w:eastAsia="Arial" w:hAnsi="Arial"/>
          <w:sz w:val="17"/>
          <w:szCs w:val="17"/>
          <w:color w:val="231F20"/>
        </w:rPr>
        <w:t xml:space="preserve">. Except as otherwise provided herein or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any non-U.S. jurisdiction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w:t>
      </w:r>
      <w:r>
        <w:rPr>
          <w:rFonts w:ascii="Arial" w:cs="Arial" w:eastAsia="Arial" w:hAnsi="Arial"/>
          <w:sz w:val="17"/>
          <w:szCs w:val="17"/>
          <w:i w:val="1"/>
          <w:iCs w:val="1"/>
          <w:color w:val="231F20"/>
        </w:rPr>
        <w:t>provided,</w:t>
      </w:r>
      <w:r>
        <w:rPr>
          <w:rFonts w:ascii="Arial" w:cs="Arial" w:eastAsia="Arial" w:hAnsi="Arial"/>
          <w:sz w:val="17"/>
          <w:szCs w:val="17"/>
          <w:color w:val="231F20"/>
        </w:rPr>
        <w:t xml:space="preserve"> </w:t>
      </w:r>
      <w:r>
        <w:rPr>
          <w:rFonts w:ascii="Arial" w:cs="Arial" w:eastAsia="Arial" w:hAnsi="Arial"/>
          <w:sz w:val="17"/>
          <w:szCs w:val="17"/>
          <w:i w:val="1"/>
          <w:iCs w:val="1"/>
          <w:color w:val="231F20"/>
        </w:rPr>
        <w:t>however</w:t>
      </w:r>
      <w:r>
        <w:rPr>
          <w:rFonts w:ascii="Arial" w:cs="Arial" w:eastAsia="Arial" w:hAnsi="Arial"/>
          <w:sz w:val="17"/>
          <w:szCs w:val="17"/>
          <w:color w:val="231F20"/>
        </w:rPr>
        <w:t>, that, for any Offering under the Section 423 Component, the Administrator shall take into consideration any limitations under Section 423 of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Code when applying an alternative method of contribution.</w:t>
      </w:r>
    </w:p>
    <w:p>
      <w:pPr>
        <w:spacing w:after="0" w:line="178"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231F20"/>
        </w:rPr>
        <w:t xml:space="preserve">5.4 </w:t>
      </w:r>
      <w:r>
        <w:rPr>
          <w:rFonts w:ascii="Arial" w:cs="Arial" w:eastAsia="Arial" w:hAnsi="Arial"/>
          <w:sz w:val="18"/>
          <w:szCs w:val="18"/>
          <w:u w:val="single" w:color="auto"/>
          <w:color w:val="231F20"/>
        </w:rPr>
        <w:t>Effect of Enrollment</w:t>
      </w:r>
      <w:r>
        <w:rPr>
          <w:rFonts w:ascii="Arial" w:cs="Arial" w:eastAsia="Arial" w:hAnsi="Arial"/>
          <w:sz w:val="18"/>
          <w:szCs w:val="18"/>
          <w:color w:val="231F20"/>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231F20"/>
        </w:rPr>
        <w:t xml:space="preserve">5.5 </w:t>
      </w:r>
      <w:r>
        <w:rPr>
          <w:rFonts w:ascii="Arial" w:cs="Arial" w:eastAsia="Arial" w:hAnsi="Arial"/>
          <w:sz w:val="18"/>
          <w:szCs w:val="18"/>
          <w:u w:val="single" w:color="auto"/>
          <w:color w:val="231F20"/>
        </w:rPr>
        <w:t>Limitation on Purchase of Shares</w:t>
      </w:r>
      <w:r>
        <w:rPr>
          <w:rFonts w:ascii="Arial" w:cs="Arial" w:eastAsia="Arial" w:hAnsi="Arial"/>
          <w:sz w:val="18"/>
          <w:szCs w:val="18"/>
          <w:color w:val="231F20"/>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9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231F20"/>
        </w:rPr>
        <w:t xml:space="preserve">5.6 </w:t>
      </w:r>
      <w:r>
        <w:rPr>
          <w:rFonts w:ascii="Arial" w:cs="Arial" w:eastAsia="Arial" w:hAnsi="Arial"/>
          <w:sz w:val="17"/>
          <w:szCs w:val="17"/>
          <w:u w:val="single" w:color="auto"/>
          <w:color w:val="231F20"/>
        </w:rPr>
        <w:t>Suspension of Payroll Deductions</w:t>
      </w:r>
      <w:r>
        <w:rPr>
          <w:rFonts w:ascii="Arial" w:cs="Arial" w:eastAsia="Arial" w:hAnsi="Arial"/>
          <w:sz w:val="17"/>
          <w:szCs w:val="17"/>
          <w:color w:val="231F20"/>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(with respect to the Section 423 Component) or the other limitations set forth in this Plan shall be paid to such Participant in one lump sum in cash within 30 days after the Purchase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right="80" w:firstLine="324"/>
        <w:spacing w:after="0" w:line="286" w:lineRule="auto"/>
        <w:rPr>
          <w:sz w:val="20"/>
          <w:szCs w:val="20"/>
          <w:color w:val="auto"/>
        </w:rPr>
      </w:pPr>
      <w:r>
        <w:rPr>
          <w:rFonts w:ascii="Arial" w:cs="Arial" w:eastAsia="Arial" w:hAnsi="Arial"/>
          <w:sz w:val="16"/>
          <w:szCs w:val="16"/>
          <w:color w:val="231F20"/>
        </w:rPr>
        <w:t xml:space="preserve">5.7 </w:t>
      </w:r>
      <w:r>
        <w:rPr>
          <w:rFonts w:ascii="Arial" w:cs="Arial" w:eastAsia="Arial" w:hAnsi="Arial"/>
          <w:sz w:val="16"/>
          <w:szCs w:val="16"/>
          <w:u w:val="single" w:color="auto"/>
          <w:color w:val="231F20"/>
        </w:rPr>
        <w:t>Foreign Employees</w:t>
      </w:r>
      <w:r>
        <w:rPr>
          <w:rFonts w:ascii="Arial" w:cs="Arial" w:eastAsia="Arial" w:hAnsi="Arial"/>
          <w:sz w:val="16"/>
          <w:szCs w:val="16"/>
          <w:color w:val="231F20"/>
        </w:rPr>
        <w:t>. In order to facilitate participation in the Plan, the Administrator may provide for such special terms, rules and procedures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except as otherwise set forth therein. The adoption of any such appendix or sub-plan shall be pursuant to Section 11.2(f) and any other applicable provision herein.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74"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5.8</w:t>
      </w:r>
      <w:r>
        <w:rPr>
          <w:sz w:val="20"/>
          <w:szCs w:val="20"/>
          <w:color w:val="auto"/>
        </w:rPr>
        <w:tab/>
      </w:r>
      <w:r>
        <w:rPr>
          <w:rFonts w:ascii="Arial" w:cs="Arial" w:eastAsia="Arial" w:hAnsi="Arial"/>
          <w:sz w:val="16"/>
          <w:szCs w:val="16"/>
          <w:u w:val="single" w:color="auto"/>
          <w:color w:val="231F20"/>
        </w:rPr>
        <w:t>Leave of Absence</w:t>
      </w:r>
      <w:r>
        <w:rPr>
          <w:rFonts w:ascii="Arial" w:cs="Arial" w:eastAsia="Arial" w:hAnsi="Arial"/>
          <w:sz w:val="16"/>
          <w:szCs w:val="16"/>
          <w:color w:val="231F20"/>
        </w:rPr>
        <w:t>. During leaves of absence approved by the Company meeting the requirements of Treasury Regulation Section 1.421-1(h)</w:t>
      </w:r>
    </w:p>
    <w:p>
      <w:pPr>
        <w:spacing w:after="0" w:line="23" w:lineRule="exact"/>
        <w:rPr>
          <w:sz w:val="20"/>
          <w:szCs w:val="20"/>
          <w:color w:val="auto"/>
        </w:rPr>
      </w:pPr>
    </w:p>
    <w:p>
      <w:pPr>
        <w:ind w:right="240" w:firstLine="8"/>
        <w:spacing w:after="0" w:line="260" w:lineRule="auto"/>
        <w:tabs>
          <w:tab w:leader="none" w:pos="255"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under the Code, unless otherwise set forth in the terms of an Offering Document, a Participant may continue participation in the Plan by making cash payments to the Company on his or her normal payday equal to the Participant’s authorized payroll deduction.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GRANT AND EXERCISE OF RIGHTS</w:t>
      </w:r>
    </w:p>
    <w:p>
      <w:pPr>
        <w:spacing w:after="0" w:line="21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231F20"/>
        </w:rPr>
        <w:t xml:space="preserve">6.1 </w:t>
      </w:r>
      <w:r>
        <w:rPr>
          <w:rFonts w:ascii="Arial" w:cs="Arial" w:eastAsia="Arial" w:hAnsi="Arial"/>
          <w:sz w:val="17"/>
          <w:szCs w:val="17"/>
          <w:u w:val="single" w:color="auto"/>
          <w:color w:val="231F20"/>
        </w:rPr>
        <w:t>Grant of Rights</w:t>
      </w:r>
      <w:r>
        <w:rPr>
          <w:rFonts w:ascii="Arial" w:cs="Arial" w:eastAsia="Arial" w:hAnsi="Arial"/>
          <w:sz w:val="17"/>
          <w:szCs w:val="17"/>
          <w:color w:val="231F20"/>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last day of the applicable Offering Period, or if earlier, the date on which the Participant withdraws in accordance with Section 7.1 or Section 7.3.</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231F20"/>
        </w:rPr>
        <w:t xml:space="preserve">6.2 </w:t>
      </w:r>
      <w:r>
        <w:rPr>
          <w:rFonts w:ascii="Arial" w:cs="Arial" w:eastAsia="Arial" w:hAnsi="Arial"/>
          <w:sz w:val="17"/>
          <w:szCs w:val="17"/>
          <w:u w:val="single" w:color="auto"/>
          <w:color w:val="231F20"/>
        </w:rPr>
        <w:t>Exercise of Rights</w:t>
      </w:r>
      <w:r>
        <w:rPr>
          <w:rFonts w:ascii="Arial" w:cs="Arial" w:eastAsia="Arial" w:hAnsi="Arial"/>
          <w:sz w:val="17"/>
          <w:szCs w:val="17"/>
          <w:color w:val="231F20"/>
        </w:rPr>
        <w:t>. On each Purchase Date, each Participant’s accumulated payroll deductions and any other additional payments specifically provided for herein 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Plan may be evidenced in such manner as the Administrator may determine and may be issued in certificated form or issued pursuant to book-entry procedures.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231F20"/>
        </w:rPr>
        <w:t xml:space="preserve">6.3 </w:t>
      </w:r>
      <w:r>
        <w:rPr>
          <w:rFonts w:ascii="Arial" w:cs="Arial" w:eastAsia="Arial" w:hAnsi="Arial"/>
          <w:sz w:val="16"/>
          <w:szCs w:val="16"/>
          <w:u w:val="single" w:color="auto"/>
          <w:color w:val="231F20"/>
        </w:rPr>
        <w:t>Pro Rata Allocation of Shares</w:t>
      </w:r>
      <w:r>
        <w:rPr>
          <w:rFonts w:ascii="Arial" w:cs="Arial" w:eastAsia="Arial" w:hAnsi="Arial"/>
          <w:sz w:val="16"/>
          <w:szCs w:val="16"/>
          <w:color w:val="231F20"/>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right="100" w:firstLine="8"/>
        <w:spacing w:after="0" w:line="271" w:lineRule="auto"/>
        <w:tabs>
          <w:tab w:leader="none" w:pos="265" w:val="left"/>
        </w:tabs>
        <w:numPr>
          <w:ilvl w:val="0"/>
          <w:numId w:val="68"/>
        </w:numPr>
        <w:rPr>
          <w:rFonts w:ascii="Arial" w:cs="Arial" w:eastAsia="Arial" w:hAnsi="Arial"/>
          <w:sz w:val="17"/>
          <w:szCs w:val="17"/>
          <w:color w:val="231F20"/>
        </w:rPr>
      </w:pPr>
      <w:r>
        <w:rPr>
          <w:rFonts w:ascii="Arial" w:cs="Arial" w:eastAsia="Arial" w:hAnsi="Arial"/>
          <w:sz w:val="17"/>
          <w:szCs w:val="17"/>
          <w:color w:val="231F20"/>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firstLine="324"/>
        <w:spacing w:after="0" w:line="255" w:lineRule="auto"/>
        <w:rPr>
          <w:sz w:val="20"/>
          <w:szCs w:val="20"/>
          <w:color w:val="auto"/>
        </w:rPr>
      </w:pPr>
      <w:r>
        <w:rPr>
          <w:rFonts w:ascii="Arial" w:cs="Arial" w:eastAsia="Arial" w:hAnsi="Arial"/>
          <w:sz w:val="18"/>
          <w:szCs w:val="18"/>
          <w:color w:val="231F20"/>
        </w:rPr>
        <w:t xml:space="preserve">6.4 </w:t>
      </w:r>
      <w:r>
        <w:rPr>
          <w:rFonts w:ascii="Arial" w:cs="Arial" w:eastAsia="Arial" w:hAnsi="Arial"/>
          <w:sz w:val="18"/>
          <w:szCs w:val="18"/>
          <w:u w:val="single" w:color="auto"/>
          <w:color w:val="231F20"/>
        </w:rPr>
        <w:t>Withholding</w:t>
      </w:r>
      <w:r>
        <w:rPr>
          <w:rFonts w:ascii="Arial" w:cs="Arial" w:eastAsia="Arial" w:hAnsi="Arial"/>
          <w:sz w:val="18"/>
          <w:szCs w:val="18"/>
          <w:color w:val="231F20"/>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9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231F20"/>
        </w:rPr>
        <w:t xml:space="preserve">6.5 </w:t>
      </w:r>
      <w:r>
        <w:rPr>
          <w:rFonts w:ascii="Arial" w:cs="Arial" w:eastAsia="Arial" w:hAnsi="Arial"/>
          <w:sz w:val="18"/>
          <w:szCs w:val="18"/>
          <w:u w:val="single" w:color="auto"/>
          <w:color w:val="231F20"/>
        </w:rPr>
        <w:t>Conditions to Issuance of Shares</w:t>
      </w:r>
      <w:r>
        <w:rPr>
          <w:rFonts w:ascii="Arial" w:cs="Arial" w:eastAsia="Arial" w:hAnsi="Arial"/>
          <w:sz w:val="18"/>
          <w:szCs w:val="18"/>
          <w:color w:val="231F20"/>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WITHDRAWAL; CESSATION OF ELIGIBILITY</w:t>
      </w:r>
    </w:p>
    <w:p>
      <w:pPr>
        <w:spacing w:after="0" w:line="21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231F20"/>
        </w:rPr>
        <w:t xml:space="preserve">7.1 </w:t>
      </w:r>
      <w:r>
        <w:rPr>
          <w:rFonts w:ascii="Arial" w:cs="Arial" w:eastAsia="Arial" w:hAnsi="Arial"/>
          <w:sz w:val="18"/>
          <w:szCs w:val="18"/>
          <w:u w:val="single" w:color="auto"/>
          <w:color w:val="231F20"/>
        </w:rPr>
        <w:t>Withdrawal</w:t>
      </w:r>
      <w:r>
        <w:rPr>
          <w:rFonts w:ascii="Arial" w:cs="Arial" w:eastAsia="Arial" w:hAnsi="Arial"/>
          <w:sz w:val="18"/>
          <w:szCs w:val="18"/>
          <w:color w:val="231F20"/>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calendar weeks prior to the end of the then-applicable Purchase Period (or such shorter or longer period as may be specified by the Administrator in the applicable Offering Document). All of the Participant’s payroll deductions credited to his or her account during such Purchase Period and not yet used to exercise rights under the Plan shall be paid to such Participant as soon as reasonably practicable after receipt of notice of withdrawal, such Participant’s rights for the Offering Period shall be automatically terminated, and no further payroll deductions for the purchase of Shares shall be made for such Offering Period. If a Participant withdraws from an Offering Period (including by virtue of a suspension as described in Section 5.2(c) above), payroll deductions shall not resume at the beginning of any subsequent Offering Period unless the Participant is an Eligible Employee and timely delivers to the Company a new subscription agreement by the applicable enrollment deadline for any such subsequent Offering Period, as determined by the Administrator.</w:t>
      </w:r>
    </w:p>
    <w:p>
      <w:pPr>
        <w:spacing w:after="0" w:line="19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231F20"/>
        </w:rPr>
        <w:t xml:space="preserve">7.2 </w:t>
      </w:r>
      <w:r>
        <w:rPr>
          <w:rFonts w:ascii="Arial" w:cs="Arial" w:eastAsia="Arial" w:hAnsi="Arial"/>
          <w:sz w:val="18"/>
          <w:szCs w:val="18"/>
          <w:u w:val="single" w:color="auto"/>
          <w:color w:val="231F20"/>
        </w:rPr>
        <w:t>Future Participation</w:t>
      </w:r>
      <w:r>
        <w:rPr>
          <w:rFonts w:ascii="Arial" w:cs="Arial" w:eastAsia="Arial" w:hAnsi="Arial"/>
          <w:sz w:val="18"/>
          <w:szCs w:val="18"/>
          <w:color w:val="231F20"/>
        </w:rPr>
        <w:t>. A Participant’s withdrawal from an Offering Period shall not have any effect upon his or her eligibility to participate in any similar plan that may hereafter be adopted by the Company or a Designated Subsidiary or in any subsequent Offering Period that commences on or after the Participant’s withdrawal from any Offering Period.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4" w:name="page95"/>
    <w:bookmarkEnd w:id="94"/>
    <w:p>
      <w:pPr>
        <w:ind w:firstLine="324"/>
        <w:spacing w:after="0" w:line="284" w:lineRule="auto"/>
        <w:rPr>
          <w:sz w:val="20"/>
          <w:szCs w:val="20"/>
          <w:color w:val="auto"/>
        </w:rPr>
      </w:pPr>
      <w:r>
        <w:rPr>
          <w:rFonts w:ascii="Arial" w:cs="Arial" w:eastAsia="Arial" w:hAnsi="Arial"/>
          <w:sz w:val="16"/>
          <w:szCs w:val="16"/>
          <w:color w:val="231F20"/>
        </w:rPr>
        <w:t xml:space="preserve">7.3 </w:t>
      </w:r>
      <w:r>
        <w:rPr>
          <w:rFonts w:ascii="Arial" w:cs="Arial" w:eastAsia="Arial" w:hAnsi="Arial"/>
          <w:sz w:val="16"/>
          <w:szCs w:val="16"/>
          <w:u w:val="single" w:color="auto"/>
          <w:color w:val="231F20"/>
        </w:rPr>
        <w:t>Cessation of Eligibility</w:t>
      </w:r>
      <w:r>
        <w:rPr>
          <w:rFonts w:ascii="Arial" w:cs="Arial" w:eastAsia="Arial" w:hAnsi="Arial"/>
          <w:sz w:val="16"/>
          <w:szCs w:val="16"/>
          <w:color w:val="231F20"/>
        </w:rPr>
        <w:t>. Upon a Participant’s ceasing to be an Eligible Employee for any reason, he or she shall be deemed to have elected to withdraw from the Plan pursuant to this Article VII and the payroll deductions credited to such Participant’s account during the then-current Purchase Period shall be paid to such Participant or, in the case of his or her death, to the Participant’s Designated Beneficiary, within 30 days following such Participant’s ceasing to be an Eligible Employee, and such Participant’s rights for the Offering Period shall be automatically terminated. For clarity, if a Participant transfers employment from the Company or any Designated Subsidiary participating in either the Section 423 Component or Non- Section 423 Component to any Designated Subsidiary that is neither participating in the Section 423 Component nor the Non-Section 423 Component, then, in any case, such transfer shall be treated as a termination of employment under the Plan and the Participant shall be deemed to have withdrawn from the Plan pursuant to this Article VII and the payroll deductions credited to such Participant’s account during the then-current Purchase Period shall be paid to such Participant within 30 days following such Participant’s transfer of employment, and such Participant’s participation in the Offering Period shall be automatically terminated. If a Participant transfers employment from the Company or any Designated Subsidiary participating in the Section 423 Component to any Designated Subsidiary participating in the Non- Section 423 Component, such transfer shall not be treated as a termination of employment under the Plan, but the Participant shall immediately cease to participate in the Section 423 Component; however, any contributions made for the then-current Purchase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(to the extent applicable) and other Applicable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ADJUSTMENTS UPON CHANGES IN SHARES</w:t>
      </w:r>
    </w:p>
    <w:p>
      <w:pPr>
        <w:spacing w:after="0" w:line="21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231F20"/>
        </w:rPr>
        <w:t xml:space="preserve">8.1 </w:t>
      </w:r>
      <w:r>
        <w:rPr>
          <w:rFonts w:ascii="Arial" w:cs="Arial" w:eastAsia="Arial" w:hAnsi="Arial"/>
          <w:sz w:val="17"/>
          <w:szCs w:val="17"/>
          <w:u w:val="single" w:color="auto"/>
          <w:color w:val="231F20"/>
        </w:rPr>
        <w:t>Changes in Capitalization</w:t>
      </w:r>
      <w:r>
        <w:rPr>
          <w:rFonts w:ascii="Arial" w:cs="Arial" w:eastAsia="Arial" w:hAnsi="Arial"/>
          <w:sz w:val="17"/>
          <w:szCs w:val="17"/>
          <w:color w:val="231F20"/>
        </w:rPr>
        <w:t>. Subject to Section 8.3, in the event that the Administrator determines that any dividend or other distribution (whether in the form of cash, Shares, other securities, or other property), Change of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and, solely with respect to the Section 423 Component of the Plan, subject to stockholder approval if required to comply with Section 423 of the Code,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7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231F20"/>
        </w:rPr>
        <w:t xml:space="preserve">8.2 </w:t>
      </w:r>
      <w:r>
        <w:rPr>
          <w:rFonts w:ascii="Arial" w:cs="Arial" w:eastAsia="Arial" w:hAnsi="Arial"/>
          <w:sz w:val="17"/>
          <w:szCs w:val="17"/>
          <w:u w:val="single" w:color="auto"/>
          <w:color w:val="231F20"/>
        </w:rPr>
        <w:t>Other Adjustments</w:t>
      </w:r>
      <w:r>
        <w:rPr>
          <w:rFonts w:ascii="Arial" w:cs="Arial" w:eastAsia="Arial" w:hAnsi="Arial"/>
          <w:sz w:val="17"/>
          <w:szCs w:val="17"/>
          <w:color w:val="231F20"/>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78" w:lineRule="exact"/>
        <w:rPr>
          <w:sz w:val="20"/>
          <w:szCs w:val="20"/>
          <w:color w:val="auto"/>
        </w:rPr>
      </w:pPr>
    </w:p>
    <w:p>
      <w:pPr>
        <w:jc w:val="both"/>
        <w:ind w:left="340" w:right="280" w:firstLine="640"/>
        <w:spacing w:after="0" w:line="263" w:lineRule="auto"/>
        <w:tabs>
          <w:tab w:leader="none" w:pos="1724"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340" w:right="360" w:firstLine="640"/>
        <w:spacing w:after="0" w:line="263" w:lineRule="auto"/>
        <w:tabs>
          <w:tab w:leader="none" w:pos="1734"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83" w:lineRule="exact"/>
        <w:rPr>
          <w:rFonts w:ascii="Arial" w:cs="Arial" w:eastAsia="Arial" w:hAnsi="Arial"/>
          <w:sz w:val="18"/>
          <w:szCs w:val="18"/>
          <w:color w:val="231F20"/>
        </w:rPr>
      </w:pPr>
    </w:p>
    <w:p>
      <w:pPr>
        <w:ind w:left="340" w:right="100" w:firstLine="640"/>
        <w:spacing w:after="0" w:line="277" w:lineRule="auto"/>
        <w:tabs>
          <w:tab w:leader="none" w:pos="1724"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To make adjustments in the number and type of Shares (or other securities or property) subject to outstanding rights under the Plan and/or in the terms and conditions of outstanding rights and rights that may be granted in the future;</w:t>
      </w:r>
    </w:p>
    <w:p>
      <w:pPr>
        <w:spacing w:after="0" w:line="170" w:lineRule="exact"/>
        <w:rPr>
          <w:rFonts w:ascii="Arial" w:cs="Arial" w:eastAsia="Arial" w:hAnsi="Arial"/>
          <w:sz w:val="18"/>
          <w:szCs w:val="18"/>
          <w:color w:val="231F20"/>
        </w:rPr>
      </w:pPr>
    </w:p>
    <w:p>
      <w:pPr>
        <w:ind w:left="340" w:right="160" w:firstLine="640"/>
        <w:spacing w:after="0" w:line="263" w:lineRule="auto"/>
        <w:tabs>
          <w:tab w:leader="none" w:pos="1734"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83" w:lineRule="exact"/>
        <w:rPr>
          <w:rFonts w:ascii="Arial" w:cs="Arial" w:eastAsia="Arial" w:hAnsi="Arial"/>
          <w:sz w:val="18"/>
          <w:szCs w:val="18"/>
          <w:color w:val="231F20"/>
        </w:rPr>
      </w:pPr>
    </w:p>
    <w:p>
      <w:pPr>
        <w:ind w:left="1720" w:hanging="740"/>
        <w:spacing w:after="0"/>
        <w:tabs>
          <w:tab w:leader="none" w:pos="172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To provide that all outstanding rights shall terminate without being exercised.</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 xml:space="preserve">8.3 </w:t>
      </w:r>
      <w:r>
        <w:rPr>
          <w:rFonts w:ascii="Arial" w:cs="Arial" w:eastAsia="Arial" w:hAnsi="Arial"/>
          <w:sz w:val="18"/>
          <w:szCs w:val="18"/>
          <w:u w:val="single" w:color="auto"/>
          <w:color w:val="231F20"/>
        </w:rPr>
        <w:t>No Adjustment Under Certain Circumstances</w:t>
      </w:r>
      <w:r>
        <w:rPr>
          <w:rFonts w:ascii="Arial" w:cs="Arial" w:eastAsia="Arial" w:hAnsi="Arial"/>
          <w:sz w:val="18"/>
          <w:szCs w:val="18"/>
          <w:color w:val="231F20"/>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 xml:space="preserve">8.4 </w:t>
      </w:r>
      <w:r>
        <w:rPr>
          <w:rFonts w:ascii="Arial" w:cs="Arial" w:eastAsia="Arial" w:hAnsi="Arial"/>
          <w:sz w:val="18"/>
          <w:szCs w:val="18"/>
          <w:u w:val="single" w:color="auto"/>
          <w:color w:val="231F20"/>
        </w:rPr>
        <w:t>No Other Rights</w:t>
      </w:r>
      <w:r>
        <w:rPr>
          <w:rFonts w:ascii="Arial" w:cs="Arial" w:eastAsia="Arial" w:hAnsi="Arial"/>
          <w:sz w:val="18"/>
          <w:szCs w:val="18"/>
          <w:color w:val="231F20"/>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AMENDMENT, MODIFICATION AND TERMINATION</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231F20"/>
        </w:rPr>
        <w:t xml:space="preserve">9.1 </w:t>
      </w:r>
      <w:r>
        <w:rPr>
          <w:rFonts w:ascii="Arial" w:cs="Arial" w:eastAsia="Arial" w:hAnsi="Arial"/>
          <w:sz w:val="18"/>
          <w:szCs w:val="18"/>
          <w:u w:val="single" w:color="auto"/>
          <w:color w:val="231F20"/>
        </w:rPr>
        <w:t>Amendment, Modification and Termination</w:t>
      </w:r>
      <w:r>
        <w:rPr>
          <w:rFonts w:ascii="Arial" w:cs="Arial" w:eastAsia="Arial" w:hAnsi="Arial"/>
          <w:sz w:val="18"/>
          <w:szCs w:val="18"/>
          <w:color w:val="231F20"/>
        </w:rPr>
        <w:t xml:space="preserve">. The Administrator may amend, suspend or terminate the Plan at any time and from time to time;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approval of the Company’s stockholders shall be required to amend the Plan to increase the aggregate number, or change the type, of shares that may be sold pursuant to rights under the Plan under Section 3.1 (other than an adjustment as provided by Article VIII) or as may otherwise be required under Section 423 of the Code.</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231F20"/>
        </w:rPr>
        <w:t xml:space="preserve">9.2 </w:t>
      </w:r>
      <w:r>
        <w:rPr>
          <w:rFonts w:ascii="Arial" w:cs="Arial" w:eastAsia="Arial" w:hAnsi="Arial"/>
          <w:sz w:val="16"/>
          <w:szCs w:val="16"/>
          <w:u w:val="single" w:color="auto"/>
          <w:color w:val="231F20"/>
        </w:rPr>
        <w:t>Certain Changes to Plan</w:t>
      </w:r>
      <w:r>
        <w:rPr>
          <w:rFonts w:ascii="Arial" w:cs="Arial" w:eastAsia="Arial" w:hAnsi="Arial"/>
          <w:sz w:val="16"/>
          <w:szCs w:val="16"/>
          <w:color w:val="231F20"/>
        </w:rPr>
        <w:t>. Without stockholder consent and without regard to whether any Participant rights may be considered to have been adversely affected (and, with respect to the Section 423 Component of the Plan, to the extent permitted by Section 423 of the Code), the Administrator shall be entitled to change or terminate the Offering Periods, limit the frequency and/or number of changes a Participant may make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right="160" w:firstLine="324"/>
        <w:spacing w:after="0" w:line="286" w:lineRule="auto"/>
        <w:rPr>
          <w:sz w:val="20"/>
          <w:szCs w:val="20"/>
          <w:color w:val="auto"/>
        </w:rPr>
      </w:pPr>
      <w:r>
        <w:rPr>
          <w:rFonts w:ascii="Arial" w:cs="Arial" w:eastAsia="Arial" w:hAnsi="Arial"/>
          <w:sz w:val="17"/>
          <w:szCs w:val="17"/>
          <w:color w:val="231F20"/>
        </w:rPr>
        <w:t xml:space="preserve">9.3 </w:t>
      </w:r>
      <w:r>
        <w:rPr>
          <w:rFonts w:ascii="Arial" w:cs="Arial" w:eastAsia="Arial" w:hAnsi="Arial"/>
          <w:sz w:val="17"/>
          <w:szCs w:val="17"/>
          <w:u w:val="single" w:color="auto"/>
          <w:color w:val="231F20"/>
        </w:rPr>
        <w:t>Actions In the Event of Unfavorable Financial Accounting Consequences</w:t>
      </w:r>
      <w:r>
        <w:rPr>
          <w:rFonts w:ascii="Arial" w:cs="Arial" w:eastAsia="Arial" w:hAnsi="Arial"/>
          <w:sz w:val="17"/>
          <w:szCs w:val="17"/>
          <w:color w:val="231F20"/>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65" w:lineRule="exact"/>
        <w:rPr>
          <w:sz w:val="20"/>
          <w:szCs w:val="20"/>
          <w:color w:val="auto"/>
        </w:rPr>
      </w:pPr>
    </w:p>
    <w:p>
      <w:pPr>
        <w:ind w:left="1720" w:hanging="740"/>
        <w:spacing w:after="0"/>
        <w:tabs>
          <w:tab w:leader="none" w:pos="172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altering the Purchase Price for any Offering Period including an Offering Period underway at the time of the change in Purchase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Price;</w:t>
      </w:r>
    </w:p>
    <w:p>
      <w:pPr>
        <w:spacing w:after="0" w:line="211" w:lineRule="exact"/>
        <w:rPr>
          <w:sz w:val="20"/>
          <w:szCs w:val="20"/>
          <w:color w:val="auto"/>
        </w:rPr>
      </w:pPr>
    </w:p>
    <w:p>
      <w:pPr>
        <w:ind w:left="340" w:right="300" w:firstLine="640"/>
        <w:spacing w:after="0" w:line="277" w:lineRule="auto"/>
        <w:tabs>
          <w:tab w:leader="none" w:pos="1738"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shortening any Offering Period so that the Offering Period ends on a new or earlier Purchase Date, including an Offering Period underway at the time of the Administrator action;</w:t>
      </w:r>
    </w:p>
    <w:p>
      <w:pPr>
        <w:spacing w:after="0" w:line="170" w:lineRule="exact"/>
        <w:rPr>
          <w:rFonts w:ascii="Arial" w:cs="Arial" w:eastAsia="Arial" w:hAnsi="Arial"/>
          <w:sz w:val="18"/>
          <w:szCs w:val="18"/>
          <w:color w:val="231F20"/>
        </w:rPr>
      </w:pPr>
    </w:p>
    <w:p>
      <w:pPr>
        <w:ind w:left="1220" w:hanging="240"/>
        <w:spacing w:after="0"/>
        <w:tabs>
          <w:tab w:leader="none" w:pos="122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allocating Shares; and</w:t>
      </w:r>
    </w:p>
    <w:p>
      <w:pPr>
        <w:spacing w:after="0" w:line="225" w:lineRule="exact"/>
        <w:rPr>
          <w:rFonts w:ascii="Arial" w:cs="Arial" w:eastAsia="Arial" w:hAnsi="Arial"/>
          <w:sz w:val="18"/>
          <w:szCs w:val="18"/>
          <w:color w:val="231F20"/>
        </w:rPr>
      </w:pPr>
    </w:p>
    <w:p>
      <w:pPr>
        <w:ind w:left="1720" w:hanging="740"/>
        <w:spacing w:after="0"/>
        <w:tabs>
          <w:tab w:leader="none" w:pos="172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such other changes and modifications as the Administrator determines are necessary or appropriate.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Such modifications or amendments shall not require stockholder approval or the consent of any Participant.</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231F20"/>
        </w:rPr>
        <w:t xml:space="preserve">9.4 </w:t>
      </w:r>
      <w:r>
        <w:rPr>
          <w:rFonts w:ascii="Arial" w:cs="Arial" w:eastAsia="Arial" w:hAnsi="Arial"/>
          <w:sz w:val="18"/>
          <w:szCs w:val="18"/>
          <w:u w:val="single" w:color="auto"/>
          <w:color w:val="231F20"/>
        </w:rPr>
        <w:t>Payments Upon Termination of Plan</w:t>
      </w:r>
      <w:r>
        <w:rPr>
          <w:rFonts w:ascii="Arial" w:cs="Arial" w:eastAsia="Arial" w:hAnsi="Arial"/>
          <w:sz w:val="18"/>
          <w:szCs w:val="18"/>
          <w:color w:val="231F20"/>
        </w:rPr>
        <w:t>. Upon termination of the Plan, the balance in each Participant’s Plan account shall be refunded as soon as practicable after such termination, without any interest thereon, or if the Administrator so determines, the then-current Offering Period may be shortened so that the purchase of Shares occurs prior to the termination of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TERM OF PLAN</w:t>
      </w:r>
    </w:p>
    <w:p>
      <w:pPr>
        <w:spacing w:after="0" w:line="2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231F20"/>
        </w:rPr>
        <w:t>The Plan shall become effective on the Effective Date and shall continue until terminated by the Board in accordance with Section 9.1. No right may be granted under the Plan prior to the Effective Date. No rights may be granted under the Plan during any period of suspension of the Plan or after termination of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ADMINISTRATION</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231F20"/>
        </w:rPr>
        <w:t xml:space="preserve">11.1 </w:t>
      </w:r>
      <w:r>
        <w:rPr>
          <w:rFonts w:ascii="Arial" w:cs="Arial" w:eastAsia="Arial" w:hAnsi="Arial"/>
          <w:sz w:val="18"/>
          <w:szCs w:val="18"/>
          <w:u w:val="single" w:color="auto"/>
          <w:color w:val="231F20"/>
        </w:rPr>
        <w:t>Administrator</w:t>
      </w:r>
      <w:r>
        <w:rPr>
          <w:rFonts w:ascii="Arial" w:cs="Arial" w:eastAsia="Arial" w:hAnsi="Arial"/>
          <w:sz w:val="18"/>
          <w:szCs w:val="18"/>
          <w:color w:val="231F20"/>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88"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231F20"/>
        </w:rPr>
        <w:t>11.2</w:t>
      </w:r>
      <w:r>
        <w:rPr>
          <w:sz w:val="20"/>
          <w:szCs w:val="20"/>
          <w:color w:val="auto"/>
        </w:rPr>
        <w:tab/>
      </w:r>
      <w:r>
        <w:rPr>
          <w:rFonts w:ascii="Arial" w:cs="Arial" w:eastAsia="Arial" w:hAnsi="Arial"/>
          <w:sz w:val="16"/>
          <w:szCs w:val="16"/>
          <w:u w:val="single" w:color="auto"/>
          <w:color w:val="231F20"/>
        </w:rPr>
        <w:t>Authority of Administrator</w:t>
      </w:r>
      <w:r>
        <w:rPr>
          <w:rFonts w:ascii="Arial" w:cs="Arial" w:eastAsia="Arial" w:hAnsi="Arial"/>
          <w:sz w:val="16"/>
          <w:szCs w:val="16"/>
          <w:color w:val="231F20"/>
        </w:rPr>
        <w:t>. The Administrator shall have the power, subject to, and within the limitations of, the express provisions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Plan:</w:t>
      </w:r>
    </w:p>
    <w:p>
      <w:pPr>
        <w:spacing w:after="0" w:line="211" w:lineRule="exact"/>
        <w:rPr>
          <w:sz w:val="20"/>
          <w:szCs w:val="20"/>
          <w:color w:val="auto"/>
        </w:rPr>
      </w:pPr>
    </w:p>
    <w:p>
      <w:pPr>
        <w:ind w:left="340" w:right="320" w:firstLine="640"/>
        <w:spacing w:after="0" w:line="277" w:lineRule="auto"/>
        <w:tabs>
          <w:tab w:leader="none" w:pos="1724"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To determine when and how rights to purchase Shares shall be granted and the provisions of each offering of such rights (which need not be identical).</w:t>
      </w:r>
    </w:p>
    <w:p>
      <w:pPr>
        <w:spacing w:after="0" w:line="170" w:lineRule="exact"/>
        <w:rPr>
          <w:rFonts w:ascii="Arial" w:cs="Arial" w:eastAsia="Arial" w:hAnsi="Arial"/>
          <w:sz w:val="18"/>
          <w:szCs w:val="18"/>
          <w:color w:val="231F20"/>
        </w:rPr>
      </w:pPr>
    </w:p>
    <w:p>
      <w:pPr>
        <w:ind w:left="340" w:right="320" w:firstLine="640"/>
        <w:spacing w:after="0" w:line="277" w:lineRule="auto"/>
        <w:tabs>
          <w:tab w:leader="none" w:pos="1734"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To designate from time to time which Subsidiaries of the Company shall be Designated Subsidiaries, which designation may be made without the approval of the stockholders of the Company.</w:t>
      </w:r>
    </w:p>
    <w:p>
      <w:pPr>
        <w:spacing w:after="0" w:line="170" w:lineRule="exact"/>
        <w:rPr>
          <w:rFonts w:ascii="Arial" w:cs="Arial" w:eastAsia="Arial" w:hAnsi="Arial"/>
          <w:sz w:val="18"/>
          <w:szCs w:val="18"/>
          <w:color w:val="231F20"/>
        </w:rPr>
      </w:pPr>
    </w:p>
    <w:p>
      <w:pPr>
        <w:ind w:left="340" w:right="280" w:firstLine="640"/>
        <w:spacing w:after="0" w:line="277" w:lineRule="auto"/>
        <w:tabs>
          <w:tab w:leader="none" w:pos="1724"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To impose a mandatory holding period pursuant to which Participants may not dispose of or transfer Shares purchased under the Plan for a period of time determined by the Administrator in its discretion.</w:t>
      </w:r>
    </w:p>
    <w:p>
      <w:pPr>
        <w:spacing w:after="0" w:line="170" w:lineRule="exact"/>
        <w:rPr>
          <w:rFonts w:ascii="Arial" w:cs="Arial" w:eastAsia="Arial" w:hAnsi="Arial"/>
          <w:sz w:val="18"/>
          <w:szCs w:val="18"/>
          <w:color w:val="231F20"/>
        </w:rPr>
      </w:pPr>
    </w:p>
    <w:p>
      <w:pPr>
        <w:ind w:left="340" w:right="140" w:firstLine="640"/>
        <w:spacing w:after="0" w:line="263" w:lineRule="auto"/>
        <w:tabs>
          <w:tab w:leader="none" w:pos="1734"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83" w:lineRule="exact"/>
        <w:rPr>
          <w:rFonts w:ascii="Arial" w:cs="Arial" w:eastAsia="Arial" w:hAnsi="Arial"/>
          <w:sz w:val="18"/>
          <w:szCs w:val="18"/>
          <w:color w:val="231F20"/>
        </w:rPr>
      </w:pPr>
    </w:p>
    <w:p>
      <w:pPr>
        <w:ind w:left="1720" w:hanging="740"/>
        <w:spacing w:after="0"/>
        <w:tabs>
          <w:tab w:leader="none" w:pos="172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To amend, suspend or terminate the Plan as provided in Article IX.</w:t>
      </w:r>
    </w:p>
    <w:p>
      <w:pPr>
        <w:spacing w:after="0" w:line="225" w:lineRule="exact"/>
        <w:rPr>
          <w:rFonts w:ascii="Arial" w:cs="Arial" w:eastAsia="Arial" w:hAnsi="Arial"/>
          <w:sz w:val="18"/>
          <w:szCs w:val="18"/>
          <w:color w:val="231F20"/>
        </w:rPr>
      </w:pPr>
    </w:p>
    <w:p>
      <w:pPr>
        <w:ind w:left="340" w:right="100" w:firstLine="640"/>
        <w:spacing w:after="0" w:line="263" w:lineRule="auto"/>
        <w:tabs>
          <w:tab w:leader="none" w:pos="1708"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340" w:right="80" w:firstLine="640"/>
        <w:spacing w:after="0" w:line="259" w:lineRule="auto"/>
        <w:tabs>
          <w:tab w:leader="none" w:pos="1734" w:val="left"/>
        </w:tabs>
        <w:numPr>
          <w:ilvl w:val="0"/>
          <w:numId w:val="74"/>
        </w:numPr>
        <w:rPr>
          <w:rFonts w:ascii="Arial" w:cs="Arial" w:eastAsia="Arial" w:hAnsi="Arial"/>
          <w:sz w:val="18"/>
          <w:szCs w:val="18"/>
          <w:color w:val="231F20"/>
        </w:rPr>
      </w:pPr>
      <w:r>
        <w:rPr>
          <w:rFonts w:ascii="Arial" w:cs="Arial" w:eastAsia="Arial" w:hAnsi="Arial"/>
          <w:sz w:val="18"/>
          <w:szCs w:val="18"/>
          <w:color w:val="231F20"/>
        </w:rPr>
        <w:t>To adopt annexes or sub-plans applicable to particular Designated Subsidiaries or locations, which annexes or sub-plans may be designed to be outside the scope of Section 423 of the Code. The rules of such annexes or sub-plans may take precedence over other provisions of this Plan, with the exception of Section 3.1, but unless otherwise superseded by the terms of such annex or sub-plan, the provisions of this Plan shall govern the operation of such annex or sub-plan.</w:t>
      </w:r>
    </w:p>
    <w:p>
      <w:pPr>
        <w:spacing w:after="0" w:line="18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231F20"/>
        </w:rPr>
        <w:t xml:space="preserve">11.3 </w:t>
      </w:r>
      <w:r>
        <w:rPr>
          <w:rFonts w:ascii="Arial" w:cs="Arial" w:eastAsia="Arial" w:hAnsi="Arial"/>
          <w:sz w:val="17"/>
          <w:szCs w:val="17"/>
          <w:u w:val="single" w:color="auto"/>
          <w:color w:val="231F20"/>
        </w:rPr>
        <w:t>Decisions Binding</w:t>
      </w:r>
      <w:r>
        <w:rPr>
          <w:rFonts w:ascii="Arial" w:cs="Arial" w:eastAsia="Arial" w:hAnsi="Arial"/>
          <w:sz w:val="17"/>
          <w:szCs w:val="17"/>
          <w:color w:val="231F20"/>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MISCELLANEOUS</w:t>
      </w:r>
    </w:p>
    <w:p>
      <w:pPr>
        <w:spacing w:after="0" w:line="21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231F20"/>
        </w:rPr>
        <w:t xml:space="preserve">12.1 </w:t>
      </w:r>
      <w:r>
        <w:rPr>
          <w:rFonts w:ascii="Arial" w:cs="Arial" w:eastAsia="Arial" w:hAnsi="Arial"/>
          <w:sz w:val="17"/>
          <w:szCs w:val="17"/>
          <w:u w:val="single" w:color="auto"/>
          <w:color w:val="231F20"/>
        </w:rPr>
        <w:t>Restriction upon Assignment</w:t>
      </w:r>
      <w:r>
        <w:rPr>
          <w:rFonts w:ascii="Arial" w:cs="Arial" w:eastAsia="Arial" w:hAnsi="Arial"/>
          <w:sz w:val="17"/>
          <w:szCs w:val="17"/>
          <w:color w:val="231F20"/>
        </w:rPr>
        <w:t>. A right granted under the Plan shall not be transferable other than by will or the Applicable Laws of descent and distribution, and shall be exercisable during the Participant’s lifetime only by the Participant. Except in the case of a Participant’s death,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71"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231F20"/>
        </w:rPr>
        <w:t xml:space="preserve">12.2 </w:t>
      </w:r>
      <w:r>
        <w:rPr>
          <w:rFonts w:ascii="Arial" w:cs="Arial" w:eastAsia="Arial" w:hAnsi="Arial"/>
          <w:sz w:val="16"/>
          <w:szCs w:val="16"/>
          <w:u w:val="single" w:color="auto"/>
          <w:color w:val="231F20"/>
        </w:rPr>
        <w:t>Rights as a Stockholder</w:t>
      </w:r>
      <w:r>
        <w:rPr>
          <w:rFonts w:ascii="Arial" w:cs="Arial" w:eastAsia="Arial" w:hAnsi="Arial"/>
          <w:sz w:val="16"/>
          <w:szCs w:val="16"/>
          <w:color w:val="231F20"/>
        </w:rPr>
        <w:t>.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6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231F20"/>
        </w:rPr>
        <w:t>12.3</w:t>
      </w:r>
      <w:r>
        <w:rPr>
          <w:sz w:val="20"/>
          <w:szCs w:val="20"/>
          <w:color w:val="auto"/>
        </w:rPr>
        <w:tab/>
      </w:r>
      <w:r>
        <w:rPr>
          <w:rFonts w:ascii="Arial" w:cs="Arial" w:eastAsia="Arial" w:hAnsi="Arial"/>
          <w:sz w:val="16"/>
          <w:szCs w:val="16"/>
          <w:u w:val="single" w:color="auto"/>
          <w:color w:val="231F20"/>
        </w:rPr>
        <w:t>Interest</w:t>
      </w:r>
      <w:r>
        <w:rPr>
          <w:rFonts w:ascii="Arial" w:cs="Arial" w:eastAsia="Arial" w:hAnsi="Arial"/>
          <w:sz w:val="16"/>
          <w:szCs w:val="16"/>
          <w:color w:val="231F20"/>
        </w:rPr>
        <w:t>. No interest shall accrue on the payroll deductions or contributions of a Participant under the Plan.</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231F20"/>
        </w:rPr>
        <w:t xml:space="preserve">12.4 </w:t>
      </w:r>
      <w:r>
        <w:rPr>
          <w:rFonts w:ascii="Arial" w:cs="Arial" w:eastAsia="Arial" w:hAnsi="Arial"/>
          <w:sz w:val="16"/>
          <w:szCs w:val="16"/>
          <w:u w:val="single" w:color="auto"/>
          <w:color w:val="231F20"/>
        </w:rPr>
        <w:t>Notices</w:t>
      </w:r>
      <w:r>
        <w:rPr>
          <w:rFonts w:ascii="Arial" w:cs="Arial" w:eastAsia="Arial" w:hAnsi="Arial"/>
          <w:sz w:val="16"/>
          <w:szCs w:val="16"/>
          <w:color w:val="231F20"/>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231F20"/>
        </w:rPr>
        <w:t xml:space="preserve">12.5 </w:t>
      </w:r>
      <w:r>
        <w:rPr>
          <w:rFonts w:ascii="Arial" w:cs="Arial" w:eastAsia="Arial" w:hAnsi="Arial"/>
          <w:sz w:val="17"/>
          <w:szCs w:val="17"/>
          <w:u w:val="single" w:color="auto"/>
          <w:color w:val="231F20"/>
        </w:rPr>
        <w:t>Equal Rights and Privileges</w:t>
      </w:r>
      <w:r>
        <w:rPr>
          <w:rFonts w:ascii="Arial" w:cs="Arial" w:eastAsia="Arial" w:hAnsi="Arial"/>
          <w:sz w:val="17"/>
          <w:szCs w:val="17"/>
          <w:color w:val="231F20"/>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7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231F20"/>
        </w:rPr>
        <w:t xml:space="preserve">12.6 </w:t>
      </w:r>
      <w:r>
        <w:rPr>
          <w:rFonts w:ascii="Arial" w:cs="Arial" w:eastAsia="Arial" w:hAnsi="Arial"/>
          <w:sz w:val="18"/>
          <w:szCs w:val="18"/>
          <w:u w:val="single" w:color="auto"/>
          <w:color w:val="231F20"/>
        </w:rPr>
        <w:t>Use of Funds</w:t>
      </w:r>
      <w:r>
        <w:rPr>
          <w:rFonts w:ascii="Arial" w:cs="Arial" w:eastAsia="Arial" w:hAnsi="Arial"/>
          <w:sz w:val="18"/>
          <w:szCs w:val="18"/>
          <w:color w:val="231F20"/>
        </w:rPr>
        <w:t>. All payroll deductions received or held by the Company under the Plan may be used by the Company for any corporate purpose, and the Company shall not be obligated to segregate such payroll deductions.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231F20"/>
        </w:rPr>
        <w:t xml:space="preserve">12.7 </w:t>
      </w:r>
      <w:r>
        <w:rPr>
          <w:rFonts w:ascii="Arial" w:cs="Arial" w:eastAsia="Arial" w:hAnsi="Arial"/>
          <w:sz w:val="18"/>
          <w:szCs w:val="18"/>
          <w:u w:val="single" w:color="auto"/>
          <w:color w:val="231F20"/>
        </w:rPr>
        <w:t>Reports</w:t>
      </w:r>
      <w:r>
        <w:rPr>
          <w:rFonts w:ascii="Arial" w:cs="Arial" w:eastAsia="Arial" w:hAnsi="Arial"/>
          <w:sz w:val="18"/>
          <w:szCs w:val="18"/>
          <w:color w:val="231F20"/>
        </w:rPr>
        <w:t>. Statements of account shall be given to Participants at least annually, which statements shall set forth the amounts of payroll deductions, the Purchase Price, the number of Shares purchased and the remaining cash balance, if any.</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 xml:space="preserve">12.8 </w:t>
      </w:r>
      <w:r>
        <w:rPr>
          <w:rFonts w:ascii="Arial" w:cs="Arial" w:eastAsia="Arial" w:hAnsi="Arial"/>
          <w:sz w:val="18"/>
          <w:szCs w:val="18"/>
          <w:u w:val="single" w:color="auto"/>
          <w:color w:val="231F20"/>
        </w:rPr>
        <w:t>No Employment Rights</w:t>
      </w:r>
      <w:r>
        <w:rPr>
          <w:rFonts w:ascii="Arial" w:cs="Arial" w:eastAsia="Arial" w:hAnsi="Arial"/>
          <w:sz w:val="18"/>
          <w:szCs w:val="18"/>
          <w:color w:val="231F20"/>
        </w:rPr>
        <w:t>. Nothing in the Plan shall be construed to give any person (including any Eligible Employee or Participant) the right to employment or service (or to remain in the employ or service) with the Company or any Parent or Subsidiary or affect the right of the Company or any Parent or Subsidiary to terminate the employment or service of any person (including any Eligible Employee or Participant) at any time, with or without cause.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8" w:name="page99"/>
    <w:bookmarkEnd w:id="98"/>
    <w:p>
      <w:pPr>
        <w:ind w:right="100" w:firstLine="324"/>
        <w:spacing w:after="0" w:line="275" w:lineRule="auto"/>
        <w:rPr>
          <w:sz w:val="20"/>
          <w:szCs w:val="20"/>
          <w:color w:val="auto"/>
        </w:rPr>
      </w:pPr>
      <w:r>
        <w:rPr>
          <w:rFonts w:ascii="Arial" w:cs="Arial" w:eastAsia="Arial" w:hAnsi="Arial"/>
          <w:sz w:val="17"/>
          <w:szCs w:val="17"/>
          <w:color w:val="231F20"/>
        </w:rPr>
        <w:t xml:space="preserve">12.9 </w:t>
      </w:r>
      <w:r>
        <w:rPr>
          <w:rFonts w:ascii="Arial" w:cs="Arial" w:eastAsia="Arial" w:hAnsi="Arial"/>
          <w:sz w:val="17"/>
          <w:szCs w:val="17"/>
          <w:u w:val="single" w:color="auto"/>
          <w:color w:val="231F20"/>
        </w:rPr>
        <w:t>Notice of Disposition of Shares</w:t>
      </w:r>
      <w:r>
        <w:rPr>
          <w:rFonts w:ascii="Arial" w:cs="Arial" w:eastAsia="Arial" w:hAnsi="Arial"/>
          <w:sz w:val="17"/>
          <w:szCs w:val="17"/>
          <w:color w:val="231F20"/>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 xml:space="preserve">12.10 </w:t>
      </w:r>
      <w:r>
        <w:rPr>
          <w:rFonts w:ascii="Arial" w:cs="Arial" w:eastAsia="Arial" w:hAnsi="Arial"/>
          <w:sz w:val="17"/>
          <w:szCs w:val="17"/>
          <w:u w:val="single" w:color="auto"/>
          <w:color w:val="231F20"/>
        </w:rPr>
        <w:t>Limitations on Liability</w:t>
      </w:r>
      <w:r>
        <w:rPr>
          <w:rFonts w:ascii="Arial" w:cs="Arial" w:eastAsia="Arial" w:hAnsi="Arial"/>
          <w:sz w:val="17"/>
          <w:szCs w:val="17"/>
          <w:color w:val="231F20"/>
        </w:rPr>
        <w:t>. Notwithstanding any other provisions of the Plan, no individual acting as a director, officer, other employee or agent of the Company or any Subsidiary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231F20"/>
        </w:rPr>
        <w:t xml:space="preserve">12.11 </w:t>
      </w:r>
      <w:r>
        <w:rPr>
          <w:rFonts w:ascii="Arial" w:cs="Arial" w:eastAsia="Arial" w:hAnsi="Arial"/>
          <w:sz w:val="16"/>
          <w:szCs w:val="16"/>
          <w:u w:val="single" w:color="auto"/>
          <w:color w:val="231F20"/>
        </w:rPr>
        <w:t>Data Privacy</w:t>
      </w:r>
      <w:r>
        <w:rPr>
          <w:rFonts w:ascii="Arial" w:cs="Arial" w:eastAsia="Arial" w:hAnsi="Arial"/>
          <w:sz w:val="16"/>
          <w:szCs w:val="16"/>
          <w:color w:val="231F20"/>
        </w:rPr>
        <w:t>. As a condition for participation in the Plan,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participation details, to implement, manage and administer the Plan and any Offering Period(s) (the “</w:t>
      </w:r>
      <w:r>
        <w:rPr>
          <w:rFonts w:ascii="Arial" w:cs="Arial" w:eastAsia="Arial" w:hAnsi="Arial"/>
          <w:sz w:val="16"/>
          <w:szCs w:val="16"/>
          <w:b w:val="1"/>
          <w:bCs w:val="1"/>
          <w:i w:val="1"/>
          <w:iCs w:val="1"/>
          <w:color w:val="231F20"/>
        </w:rPr>
        <w:t>Data</w:t>
      </w:r>
      <w:r>
        <w:rPr>
          <w:rFonts w:ascii="Arial" w:cs="Arial" w:eastAsia="Arial" w:hAnsi="Arial"/>
          <w:sz w:val="16"/>
          <w:szCs w:val="16"/>
          <w:color w:val="231F20"/>
        </w:rPr>
        <w:t>”). The Company and its Subsidiaries and affiliates may transfer the Data amongst themselves as necessary to implement, administer and manage a Participant’s participation in the Plan and any Offering Period(s),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participating in any Offering Period under the Plan,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12.11 in writing, without cost, by contacting the local human resources representative. If the Participant refuses or withdraws the consents in this Section 12.11, and the Company may cancel Participant’s ability to participate in the Plan or any Offering Period(s). For more information on the consequences of refusing or withdrawing consent, Participants may contact their local human resources representative.</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231F20"/>
        </w:rPr>
        <w:t xml:space="preserve">12.12 </w:t>
      </w:r>
      <w:r>
        <w:rPr>
          <w:rFonts w:ascii="Arial" w:cs="Arial" w:eastAsia="Arial" w:hAnsi="Arial"/>
          <w:sz w:val="18"/>
          <w:szCs w:val="18"/>
          <w:u w:val="single" w:color="auto"/>
          <w:color w:val="231F20"/>
        </w:rPr>
        <w:t>Severability</w:t>
      </w:r>
      <w:r>
        <w:rPr>
          <w:rFonts w:ascii="Arial" w:cs="Arial" w:eastAsia="Arial" w:hAnsi="Arial"/>
          <w:sz w:val="18"/>
          <w:szCs w:val="18"/>
          <w:color w:val="231F20"/>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 xml:space="preserve">12.13 </w:t>
      </w:r>
      <w:r>
        <w:rPr>
          <w:rFonts w:ascii="Arial" w:cs="Arial" w:eastAsia="Arial" w:hAnsi="Arial"/>
          <w:sz w:val="18"/>
          <w:szCs w:val="18"/>
          <w:u w:val="single" w:color="auto"/>
          <w:color w:val="231F20"/>
        </w:rPr>
        <w:t>Titles and Headings</w:t>
      </w:r>
      <w:r>
        <w:rPr>
          <w:rFonts w:ascii="Arial" w:cs="Arial" w:eastAsia="Arial" w:hAnsi="Arial"/>
          <w:sz w:val="18"/>
          <w:szCs w:val="18"/>
          <w:color w:val="231F20"/>
        </w:rPr>
        <w:t>. The titles and headings in the Plan are for convenience of reference only and, if any conflict, the Plan’s text, rather than such titles or headings, will control.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324"/>
        <w:spacing w:after="0" w:line="286" w:lineRule="auto"/>
        <w:rPr>
          <w:sz w:val="20"/>
          <w:szCs w:val="20"/>
          <w:color w:val="auto"/>
        </w:rPr>
      </w:pPr>
      <w:r>
        <w:rPr>
          <w:rFonts w:ascii="Arial" w:cs="Arial" w:eastAsia="Arial" w:hAnsi="Arial"/>
          <w:sz w:val="17"/>
          <w:szCs w:val="17"/>
          <w:color w:val="231F20"/>
        </w:rPr>
        <w:t xml:space="preserve">12.14 </w:t>
      </w:r>
      <w:r>
        <w:rPr>
          <w:rFonts w:ascii="Arial" w:cs="Arial" w:eastAsia="Arial" w:hAnsi="Arial"/>
          <w:sz w:val="17"/>
          <w:szCs w:val="17"/>
          <w:u w:val="single" w:color="auto"/>
          <w:color w:val="231F20"/>
        </w:rPr>
        <w:t>Conformity to Securities Laws</w:t>
      </w:r>
      <w:r>
        <w:rPr>
          <w:rFonts w:ascii="Arial" w:cs="Arial" w:eastAsia="Arial" w:hAnsi="Arial"/>
          <w:sz w:val="17"/>
          <w:szCs w:val="17"/>
          <w:color w:val="231F20"/>
        </w:rPr>
        <w:t>. Participant acknowledges that the Plan is intended to conform to the extent necessary with Applicable Laws. Notwithstanding anything herein to the contrary, the Plan and all Offering Periods will be administered only in conformance with Applicable Laws. To the extent Applicable Laws permit, the Plan and all Offering Periods will be deemed amended as necessary to conform to Applicable Laws.</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231F20"/>
        </w:rPr>
        <w:t xml:space="preserve">12.15 </w:t>
      </w:r>
      <w:r>
        <w:rPr>
          <w:rFonts w:ascii="Arial" w:cs="Arial" w:eastAsia="Arial" w:hAnsi="Arial"/>
          <w:sz w:val="18"/>
          <w:szCs w:val="18"/>
          <w:u w:val="single" w:color="auto"/>
          <w:color w:val="231F20"/>
        </w:rPr>
        <w:t>Relationship to Other Benefits</w:t>
      </w:r>
      <w:r>
        <w:rPr>
          <w:rFonts w:ascii="Arial" w:cs="Arial" w:eastAsia="Arial" w:hAnsi="Arial"/>
          <w:sz w:val="18"/>
          <w:szCs w:val="18"/>
          <w:color w:val="231F20"/>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4"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231F20"/>
        </w:rPr>
        <w:t xml:space="preserve">12.16 </w:t>
      </w:r>
      <w:r>
        <w:rPr>
          <w:rFonts w:ascii="Arial" w:cs="Arial" w:eastAsia="Arial" w:hAnsi="Arial"/>
          <w:sz w:val="16"/>
          <w:szCs w:val="16"/>
          <w:u w:val="single" w:color="auto"/>
          <w:color w:val="231F20"/>
        </w:rPr>
        <w:t>Governing Law</w:t>
      </w:r>
      <w:r>
        <w:rPr>
          <w:rFonts w:ascii="Arial" w:cs="Arial" w:eastAsia="Arial" w:hAnsi="Arial"/>
          <w:sz w:val="16"/>
          <w:szCs w:val="16"/>
          <w:color w:val="231F20"/>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231F20"/>
        </w:rPr>
        <w:t xml:space="preserve">12.17 </w:t>
      </w:r>
      <w:r>
        <w:rPr>
          <w:rFonts w:ascii="Arial" w:cs="Arial" w:eastAsia="Arial" w:hAnsi="Arial"/>
          <w:sz w:val="18"/>
          <w:szCs w:val="18"/>
          <w:u w:val="single" w:color="auto"/>
          <w:color w:val="231F20"/>
        </w:rPr>
        <w:t>Electronic Forms</w:t>
      </w:r>
      <w:r>
        <w:rPr>
          <w:rFonts w:ascii="Arial" w:cs="Arial" w:eastAsia="Arial" w:hAnsi="Arial"/>
          <w:sz w:val="18"/>
          <w:szCs w:val="18"/>
          <w:color w:val="231F20"/>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231F20"/>
        </w:rPr>
        <w:t xml:space="preserve">12.18 </w:t>
      </w:r>
      <w:r>
        <w:rPr>
          <w:rFonts w:ascii="Arial" w:cs="Arial" w:eastAsia="Arial" w:hAnsi="Arial"/>
          <w:sz w:val="16"/>
          <w:szCs w:val="16"/>
          <w:u w:val="single" w:color="auto"/>
          <w:color w:val="231F20"/>
        </w:rPr>
        <w:t>Section 409A</w:t>
      </w:r>
      <w:r>
        <w:rPr>
          <w:rFonts w:ascii="Arial" w:cs="Arial" w:eastAsia="Arial" w:hAnsi="Arial"/>
          <w:sz w:val="16"/>
          <w:szCs w:val="16"/>
          <w:color w:val="231F20"/>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Arial" w:cs="Arial" w:eastAsia="Arial" w:hAnsi="Arial"/>
          <w:sz w:val="16"/>
          <w:szCs w:val="16"/>
          <w:b w:val="1"/>
          <w:bCs w:val="1"/>
          <w:i w:val="1"/>
          <w:iCs w:val="1"/>
          <w:color w:val="231F20"/>
        </w:rPr>
        <w:t>Section 409A</w:t>
      </w:r>
      <w:r>
        <w:rPr>
          <w:rFonts w:ascii="Arial" w:cs="Arial" w:eastAsia="Arial" w:hAnsi="Arial"/>
          <w:sz w:val="16"/>
          <w:szCs w:val="16"/>
          <w:color w:val="231F20"/>
        </w:rPr>
        <w:t>”).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16.1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November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read the statements of TOI Parent, Inc. (formerly known as DFP Healthcare Acquisitions Corp.) included under Item 4.01 of its Form 8-K dated November 18, 2021. We agree with the statements concerning our Firm under Item 4.01, specifically in which we were informed of our dismissal on November 12, 2021. We are not in a position to agree or disagree with other statements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80"/>
        </w:trPr>
        <w:tc>
          <w:tcPr>
            <w:tcW w:w="93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Exhibit 99.1</w:t>
            </w:r>
          </w:p>
        </w:tc>
      </w:tr>
      <w:tr>
        <w:trPr>
          <w:trHeight w:val="538"/>
        </w:trPr>
        <w:tc>
          <w:tcPr>
            <w:tcW w:w="9360" w:type="dxa"/>
            <w:vAlign w:val="bottom"/>
          </w:tcPr>
          <w:p>
            <w:pPr>
              <w:ind w:left="4740"/>
              <w:spacing w:after="0"/>
              <w:rPr>
                <w:sz w:val="20"/>
                <w:szCs w:val="20"/>
                <w:color w:val="auto"/>
              </w:rPr>
            </w:pPr>
            <w:r>
              <w:rPr>
                <w:rFonts w:ascii="Arial" w:cs="Arial" w:eastAsia="Arial" w:hAnsi="Arial"/>
                <w:sz w:val="25"/>
                <w:szCs w:val="25"/>
                <w:b w:val="1"/>
                <w:bCs w:val="1"/>
                <w:color w:val="auto"/>
              </w:rPr>
              <w:t>TOI Parent, Inc.</w:t>
            </w:r>
          </w:p>
        </w:tc>
        <w:tc>
          <w:tcPr>
            <w:tcW w:w="1880" w:type="dxa"/>
            <w:vAlign w:val="bottom"/>
          </w:tcPr>
          <w:p>
            <w:pPr>
              <w:spacing w:after="0"/>
              <w:rPr>
                <w:sz w:val="24"/>
                <w:szCs w:val="24"/>
                <w:color w:val="auto"/>
              </w:rPr>
            </w:pPr>
          </w:p>
        </w:tc>
      </w:tr>
      <w:tr>
        <w:trPr>
          <w:trHeight w:val="424"/>
        </w:trPr>
        <w:tc>
          <w:tcPr>
            <w:tcW w:w="9360" w:type="dxa"/>
            <w:vAlign w:val="bottom"/>
          </w:tcPr>
          <w:p>
            <w:pPr>
              <w:ind w:left="494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4"/>
                <w:szCs w:val="24"/>
                <w:color w:val="auto"/>
              </w:rPr>
            </w:pPr>
          </w:p>
        </w:tc>
      </w:tr>
      <w:tr>
        <w:trPr>
          <w:trHeight w:val="418"/>
        </w:trPr>
        <w:tc>
          <w:tcPr>
            <w:tcW w:w="9360" w:type="dxa"/>
            <w:vAlign w:val="bottom"/>
          </w:tcPr>
          <w:p>
            <w:pPr>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Condensed Consolidated Balance Sheets (Unaudited)</w:t>
            </w: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Condensed Consolidated Statements of Operations (Unaudited)</w:t>
            </w: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w w:val="97"/>
              </w:rPr>
              <w:t>Condensed Consolidated Statements of Convertible Preferred Shares and Changes in Stockholders' Deficit (Unaudited)</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Condensed Consolidated Statements of Cash Flows (Unaudited)</w:t>
            </w: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Notes to Condensed Consolidated Financial Statements (Unaudited)</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48"/>
        </w:trPr>
        <w:tc>
          <w:tcPr>
            <w:tcW w:w="936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1</w:t>
            </w: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5"/>
          <w:szCs w:val="25"/>
          <w:b w:val="1"/>
          <w:bCs w:val="1"/>
          <w:color w:val="auto"/>
        </w:rPr>
        <w:t>TOI Parent, Inc.</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As of September 30, 2021 and December 31, 2020 and For the Nine Months Ended September 30, 2021 and 2020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18"/>
          <w:szCs w:val="18"/>
          <w:b w:val="1"/>
          <w:bCs w:val="1"/>
          <w:color w:val="auto"/>
        </w:rPr>
        <w:t>TOI Parent,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4"/>
              </w:rPr>
              <w:t>September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11,531,997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5,997,530</w:t>
            </w: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22,256,605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17,145,910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581,451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112,663</w:t>
            </w: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5,756,578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4,354,232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2,077,045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2,109,256</w:t>
            </w:r>
          </w:p>
        </w:tc>
        <w:tc>
          <w:tcPr>
            <w:tcW w:w="0" w:type="dxa"/>
            <w:vAlign w:val="bottom"/>
          </w:tcPr>
          <w:p>
            <w:pPr>
              <w:spacing w:after="0"/>
              <w:rPr>
                <w:sz w:val="1"/>
                <w:szCs w:val="1"/>
                <w:color w:val="auto"/>
              </w:rPr>
            </w:pPr>
          </w:p>
        </w:tc>
      </w:tr>
      <w:tr>
        <w:trPr>
          <w:trHeight w:val="229"/>
        </w:trPr>
        <w:tc>
          <w:tcPr>
            <w:tcW w:w="7940" w:type="dxa"/>
            <w:vAlign w:val="bottom"/>
          </w:tcPr>
          <w:p>
            <w:pPr>
              <w:ind w:left="340"/>
              <w:spacing w:after="0"/>
              <w:rPr>
                <w:sz w:val="20"/>
                <w:szCs w:val="20"/>
                <w:color w:val="auto"/>
              </w:rPr>
            </w:pPr>
            <w:r>
              <w:rPr>
                <w:rFonts w:ascii="Arial" w:cs="Arial" w:eastAsia="Arial" w:hAnsi="Arial"/>
                <w:sz w:val="18"/>
                <w:szCs w:val="18"/>
                <w:color w:val="auto"/>
              </w:rPr>
              <w:t>Deferred transaction costs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9,094,029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51,297,705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3,517,179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2,104,225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18,156,667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19,515,569</w:t>
            </w: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15,680,160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14,226,674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250,420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122,509</w:t>
            </w:r>
          </w:p>
        </w:tc>
        <w:tc>
          <w:tcPr>
            <w:tcW w:w="0" w:type="dxa"/>
            <w:vAlign w:val="bottom"/>
          </w:tcPr>
          <w:p>
            <w:pPr>
              <w:spacing w:after="0"/>
              <w:rPr>
                <w:sz w:val="1"/>
                <w:szCs w:val="1"/>
                <w:color w:val="auto"/>
              </w:rPr>
            </w:pPr>
          </w:p>
        </w:tc>
      </w:tr>
      <w:tr>
        <w:trPr>
          <w:trHeight w:val="229"/>
        </w:trPr>
        <w:tc>
          <w:tcPr>
            <w:tcW w:w="7940" w:type="dxa"/>
            <w:vAlign w:val="bottom"/>
          </w:tcPr>
          <w:p>
            <w:pPr>
              <w:ind w:left="340"/>
              <w:spacing w:after="0"/>
              <w:rPr>
                <w:sz w:val="20"/>
                <w:szCs w:val="20"/>
                <w:color w:val="auto"/>
              </w:rPr>
            </w:pPr>
            <w:r>
              <w:rPr>
                <w:rFonts w:ascii="Arial" w:cs="Arial" w:eastAsia="Arial" w:hAnsi="Arial"/>
                <w:sz w:val="18"/>
                <w:szCs w:val="18"/>
                <w:color w:val="auto"/>
              </w:rPr>
              <w:t>Deferred income taxes asset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1,925,196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90,827,327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65,688,568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4,895,275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5,367,758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19,013,532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12,643,024</w:t>
            </w: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6,159,079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1,143,956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11,758,211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9,452,120</w:t>
            </w:r>
          </w:p>
        </w:tc>
        <w:tc>
          <w:tcPr>
            <w:tcW w:w="0" w:type="dxa"/>
            <w:vAlign w:val="bottom"/>
          </w:tcPr>
          <w:p>
            <w:pPr>
              <w:spacing w:after="0"/>
              <w:rPr>
                <w:sz w:val="1"/>
                <w:szCs w:val="1"/>
                <w:color w:val="auto"/>
              </w:rPr>
            </w:pPr>
          </w:p>
        </w:tc>
      </w:tr>
      <w:tr>
        <w:trPr>
          <w:trHeight w:val="210"/>
        </w:trPr>
        <w:tc>
          <w:tcPr>
            <w:tcW w:w="79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41,826,097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28,606,858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 of unamortized debt issuance costs and current portion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6,561,238</w:t>
            </w:r>
          </w:p>
        </w:tc>
        <w:tc>
          <w:tcPr>
            <w:tcW w:w="0" w:type="dxa"/>
            <w:vAlign w:val="bottom"/>
          </w:tcPr>
          <w:p>
            <w:pPr>
              <w:spacing w:after="0"/>
              <w:rPr>
                <w:sz w:val="1"/>
                <w:szCs w:val="1"/>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1,517,844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806,186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liability</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1,612,769</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43,343,941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37,587,051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94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3"/>
              </w:rPr>
              <w:t>6% cumulative preferred shares, $0.001 par value. Authorized 20,000 shares; 11,451 shares issued and</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2021 and 10,000 issued and outstanding at December 31, 2020</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100,113,700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80,113,700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Stockholders’ deficit: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shares, $0.0001 par value. Authorized 400,000 shares; 100 shares issued and outstanding at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 and December 31, 2020</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447,030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294,413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(53,077,344)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(52,306,596)</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deficit</w:t>
            </w:r>
          </w:p>
        </w:tc>
        <w:tc>
          <w:tcPr>
            <w:tcW w:w="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(52,630,314</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(52,012,183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cumulative preferred shares and stockholders’ deficit</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90,827,327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65,688,568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Note: The Company's unaudited condensed consolidated balance sheets include the assets and liabilities of its consolidated variable interest entities ("VIEs"). The unaudited condensed consolidated balance sheets include total assets that can be used only to settle obligations of the Company's consolidated VIEs totaling $31,261,239 and $22,638,470 as of September 30, 2021 and December 31, 2020, respectively, and total liabilities of the Company's consolidated VIEs for which creditors do not have recourse to the general credit of the primary beneficiary of $57,055,742 and $40,426,148 as of September 30, 2021 and December 31, 2020, respectively. See Note 17 - Variable Interest Entities for further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8"/>
          <w:szCs w:val="18"/>
          <w:b w:val="1"/>
          <w:bCs w:val="1"/>
          <w:color w:val="auto"/>
        </w:rPr>
        <w:t>TOI Parent,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8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68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32,967,401</w:t>
            </w: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w w:val="90"/>
              </w:rPr>
              <w:t>29,663,884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92,375,768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86,985,513</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17,918,035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0"/>
              </w:rPr>
              <w:t>16,162,528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53,317,877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46,347,096</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1,389,522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1,423,032</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5,004,889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5,216,372</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52,274,958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47,249,444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150,698,534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138,548,981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Direct costs - patient services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25,390,950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w w:val="90"/>
              </w:rPr>
              <w:t>24,078,152</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72,050,631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72,830,254</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 - dispensary</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15,279,173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0"/>
              </w:rPr>
              <w:t>13,431,738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45,639,083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38,896,324</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Direct costs - clinical trials &amp; other</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182,230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166,238</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493,988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786,992</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12,729,425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9,492,069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35,119,854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26,861,651</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850,199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792,475</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2,421,577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2,388,219</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54,431,977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47,960,672</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155,725,133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141,763,440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(5,026,599)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(3,214,459)</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77,983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107,143</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259,894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259,013</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debt extinguishment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(5,186,341)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(53,383)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(119,233)</w:t>
            </w:r>
          </w:p>
        </w:tc>
        <w:tc>
          <w:tcPr>
            <w:tcW w:w="20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(1,125,527)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6,328,119</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non-operating (income) expense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(6,051,974)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provision for income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(2,181,619)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(699,138)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(9,801,591)</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(798,504)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23,190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(1,796,123)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298,102</w:t>
            </w:r>
          </w:p>
        </w:tc>
      </w:tr>
      <w:tr>
        <w:trPr>
          <w:trHeight w:val="26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(2,980,123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(675,948</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(770,748</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(9,503,489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51"/>
        </w:trPr>
        <w:tc>
          <w:tcPr>
            <w:tcW w:w="520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Loss per share attributable to TOI Parent, Inc. common</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(26.03)</w:t>
            </w: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(67.59)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(6.73)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(950.35)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114,510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114,510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10,000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TOI Parent,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Convertible Preferred Shares and Changes in Stockholders'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Cumulative Preferred</w:t>
            </w:r>
          </w:p>
        </w:tc>
        <w:tc>
          <w:tcPr>
            <w:tcW w:w="21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Common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 Paid in</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79"/>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340" w:type="dxa"/>
            <w:vAlign w:val="bottom"/>
            <w:gridSpan w:val="4"/>
          </w:tcPr>
          <w:p>
            <w:pPr>
              <w:jc w:val="center"/>
              <w:ind w:left="748"/>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100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tcPr>
          <w:p>
            <w:pPr>
              <w:jc w:val="right"/>
              <w:ind w:right="139"/>
              <w:spacing w:after="0" w:line="155" w:lineRule="exact"/>
              <w:rPr>
                <w:sz w:val="20"/>
                <w:szCs w:val="20"/>
                <w:color w:val="auto"/>
              </w:rPr>
            </w:pPr>
            <w:r>
              <w:rPr>
                <w:rFonts w:ascii="Arial" w:cs="Arial" w:eastAsia="Arial" w:hAnsi="Arial"/>
                <w:sz w:val="14"/>
                <w:szCs w:val="14"/>
                <w:b w:val="1"/>
                <w:bCs w:val="1"/>
                <w:color w:val="auto"/>
                <w:w w:val="95"/>
              </w:rPr>
              <w:t>Accumulated Deficit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59"/>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2019</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48,143,362</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94,007</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(6,015,023)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(5,921,016)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(9,845,729)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(9,845,729)</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Share-based compensation</w:t>
            </w: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34,106</w:t>
            </w:r>
          </w:p>
        </w:tc>
        <w:tc>
          <w:tcPr>
            <w:tcW w:w="3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34,106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48,143,362</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tcBorders>
              <w:top w:val="single" w:sz="8" w:color="auto"/>
            </w:tcBorders>
          </w:tcPr>
          <w:p>
            <w:pPr>
              <w:ind w:left="84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128,113</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(15,860,752)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(15,732,639)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1,018,188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1,018,188</w:t>
            </w:r>
          </w:p>
        </w:tc>
        <w:tc>
          <w:tcPr>
            <w:tcW w:w="0" w:type="dxa"/>
            <w:vAlign w:val="bottom"/>
          </w:tcPr>
          <w:p>
            <w:pPr>
              <w:spacing w:after="0"/>
              <w:rPr>
                <w:sz w:val="1"/>
                <w:szCs w:val="1"/>
                <w:color w:val="auto"/>
              </w:rPr>
            </w:pPr>
          </w:p>
        </w:tc>
      </w:tr>
      <w:tr>
        <w:trPr>
          <w:trHeight w:val="130"/>
        </w:trPr>
        <w:tc>
          <w:tcPr>
            <w:tcW w:w="2280" w:type="dxa"/>
            <w:vAlign w:val="bottom"/>
          </w:tcPr>
          <w:p>
            <w:pPr>
              <w:ind w:left="180"/>
              <w:spacing w:after="0" w:line="130" w:lineRule="exact"/>
              <w:rPr>
                <w:sz w:val="20"/>
                <w:szCs w:val="20"/>
                <w:color w:val="auto"/>
              </w:rPr>
            </w:pPr>
            <w:r>
              <w:rPr>
                <w:rFonts w:ascii="Arial" w:cs="Arial" w:eastAsia="Arial" w:hAnsi="Arial"/>
                <w:sz w:val="14"/>
                <w:szCs w:val="14"/>
                <w:color w:val="auto"/>
              </w:rPr>
              <w:t>Share-based compensation</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180"/>
              <w:spacing w:after="0"/>
              <w:rPr>
                <w:sz w:val="20"/>
                <w:szCs w:val="20"/>
                <w:color w:val="auto"/>
              </w:rPr>
            </w:pPr>
            <w:r>
              <w:rPr>
                <w:rFonts w:ascii="Arial" w:cs="Arial" w:eastAsia="Arial" w:hAnsi="Arial"/>
                <w:sz w:val="14"/>
                <w:szCs w:val="14"/>
                <w:color w:val="auto"/>
              </w:rPr>
              <w:t>expense</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42,220</w:t>
            </w:r>
          </w:p>
        </w:tc>
        <w:tc>
          <w:tcPr>
            <w:tcW w:w="360" w:type="dxa"/>
            <w:vAlign w:val="bottom"/>
          </w:tcPr>
          <w:p>
            <w:pPr>
              <w:spacing w:after="0"/>
              <w:rPr>
                <w:sz w:val="15"/>
                <w:szCs w:val="15"/>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42,220</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48,143,362</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170,333</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(14,842,564)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(14,672,231)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(675,948)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(675,948)</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w w:val="99"/>
              </w:rPr>
              <w:t>Share-based compensation expense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36,343</w:t>
            </w:r>
          </w:p>
        </w:tc>
        <w:tc>
          <w:tcPr>
            <w:tcW w:w="3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36,343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4"/>
                <w:szCs w:val="14"/>
                <w:b w:val="1"/>
                <w:bCs w:val="1"/>
                <w:color w:val="auto"/>
              </w:rPr>
              <w:t>Balance at September 30, 2020</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48,143,362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206,676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(15,518,512)</w:t>
            </w:r>
          </w:p>
        </w:tc>
        <w:tc>
          <w:tcPr>
            <w:tcW w:w="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
              <w:spacing w:after="0"/>
              <w:rPr>
                <w:sz w:val="20"/>
                <w:szCs w:val="20"/>
                <w:color w:val="auto"/>
              </w:rPr>
            </w:pPr>
            <w:r>
              <w:rPr>
                <w:rFonts w:ascii="Arial" w:cs="Arial" w:eastAsia="Arial" w:hAnsi="Arial"/>
                <w:sz w:val="14"/>
                <w:szCs w:val="14"/>
                <w:color w:val="auto"/>
              </w:rPr>
              <w:t>(15,311,836)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280" w:type="dxa"/>
            <w:vAlign w:val="bottom"/>
          </w:tcPr>
          <w:p>
            <w:pPr>
              <w:spacing w:after="0"/>
              <w:rPr>
                <w:sz w:val="24"/>
                <w:szCs w:val="24"/>
                <w:color w:val="auto"/>
              </w:rPr>
            </w:pPr>
          </w:p>
        </w:tc>
        <w:tc>
          <w:tcPr>
            <w:tcW w:w="2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Cumulative Preferred</w:t>
            </w:r>
          </w:p>
        </w:tc>
        <w:tc>
          <w:tcPr>
            <w:tcW w:w="21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Common Shares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 Paid in</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vMerge w:val="restart"/>
          </w:tcPr>
          <w:p>
            <w:pPr>
              <w:jc w:val="center"/>
              <w:ind w:right="79"/>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340" w:type="dxa"/>
            <w:vAlign w:val="bottom"/>
            <w:gridSpan w:val="4"/>
          </w:tcPr>
          <w:p>
            <w:pPr>
              <w:jc w:val="center"/>
              <w:ind w:left="748"/>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100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tcPr>
          <w:p>
            <w:pPr>
              <w:jc w:val="right"/>
              <w:ind w:right="139"/>
              <w:spacing w:after="0" w:line="155" w:lineRule="exact"/>
              <w:rPr>
                <w:sz w:val="20"/>
                <w:szCs w:val="20"/>
                <w:color w:val="auto"/>
              </w:rPr>
            </w:pPr>
            <w:r>
              <w:rPr>
                <w:rFonts w:ascii="Arial" w:cs="Arial" w:eastAsia="Arial" w:hAnsi="Arial"/>
                <w:sz w:val="14"/>
                <w:szCs w:val="14"/>
                <w:b w:val="1"/>
                <w:bCs w:val="1"/>
                <w:color w:val="auto"/>
                <w:w w:val="95"/>
              </w:rPr>
              <w:t>Accumulated Deficit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59"/>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2020</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80,113,700</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294,413</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(52,306,596)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(52,012,183)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(994,650)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(994,650)</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A Preferred Shares issued</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80" w:type="dxa"/>
            <w:vAlign w:val="bottom"/>
          </w:tcPr>
          <w:p>
            <w:pPr>
              <w:ind w:left="180"/>
              <w:spacing w:after="0" w:line="130" w:lineRule="exact"/>
              <w:rPr>
                <w:sz w:val="20"/>
                <w:szCs w:val="20"/>
                <w:color w:val="auto"/>
              </w:rPr>
            </w:pPr>
            <w:r>
              <w:rPr>
                <w:rFonts w:ascii="Arial" w:cs="Arial" w:eastAsia="Arial" w:hAnsi="Arial"/>
                <w:sz w:val="14"/>
                <w:szCs w:val="14"/>
                <w:color w:val="auto"/>
              </w:rPr>
              <w:t>Share-based compensation</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180"/>
              <w:spacing w:after="0"/>
              <w:rPr>
                <w:sz w:val="20"/>
                <w:szCs w:val="20"/>
                <w:color w:val="auto"/>
              </w:rPr>
            </w:pPr>
            <w:r>
              <w:rPr>
                <w:rFonts w:ascii="Arial" w:cs="Arial" w:eastAsia="Arial" w:hAnsi="Arial"/>
                <w:sz w:val="14"/>
                <w:szCs w:val="14"/>
                <w:color w:val="auto"/>
              </w:rPr>
              <w:t>expense</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41,667</w:t>
            </w:r>
          </w:p>
        </w:tc>
        <w:tc>
          <w:tcPr>
            <w:tcW w:w="360" w:type="dxa"/>
            <w:vAlign w:val="bottom"/>
          </w:tcPr>
          <w:p>
            <w:pPr>
              <w:spacing w:after="0"/>
              <w:rPr>
                <w:sz w:val="15"/>
                <w:szCs w:val="15"/>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41,667</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11,451</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100,113,700</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336,080</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(53,301,246)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(52,965,166)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3,204,025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3,204,025</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w w:val="99"/>
              </w:rPr>
              <w:t>Share-based compensation expense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51,272</w:t>
            </w:r>
          </w:p>
        </w:tc>
        <w:tc>
          <w:tcPr>
            <w:tcW w:w="3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51,272</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11,451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100,113,700</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1000" w:type="dxa"/>
            <w:vAlign w:val="bottom"/>
            <w:tcBorders>
              <w:top w:val="single" w:sz="8" w:color="auto"/>
            </w:tcBorders>
          </w:tcPr>
          <w:p>
            <w:pPr>
              <w:ind w:left="84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387,352</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(50,097,221)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(49,709,869)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(2,980,123)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(2,980,123)</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w w:val="99"/>
              </w:rPr>
              <w:t>Share-based compensation expense</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59,678</w:t>
            </w:r>
          </w:p>
        </w:tc>
        <w:tc>
          <w:tcPr>
            <w:tcW w:w="3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59,678</w:t>
            </w:r>
          </w:p>
        </w:tc>
        <w:tc>
          <w:tcPr>
            <w:tcW w:w="0" w:type="dxa"/>
            <w:vAlign w:val="bottom"/>
          </w:tcPr>
          <w:p>
            <w:pPr>
              <w:spacing w:after="0"/>
              <w:rPr>
                <w:sz w:val="1"/>
                <w:szCs w:val="1"/>
                <w:color w:val="auto"/>
              </w:rPr>
            </w:pPr>
          </w:p>
        </w:tc>
      </w:tr>
      <w:tr>
        <w:trPr>
          <w:trHeight w:val="155"/>
        </w:trPr>
        <w:tc>
          <w:tcPr>
            <w:tcW w:w="22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11,451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100,113,700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ind w:left="840"/>
              <w:spacing w:after="0" w:line="155"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447,030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(53,077,344</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(52,630,314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unaudited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4960"/>
        <w:spacing w:after="0"/>
        <w:rPr>
          <w:sz w:val="20"/>
          <w:szCs w:val="20"/>
          <w:color w:val="auto"/>
        </w:rPr>
      </w:pPr>
      <w:r>
        <w:rPr>
          <w:rFonts w:ascii="Arial" w:cs="Arial" w:eastAsia="Arial" w:hAnsi="Arial"/>
          <w:sz w:val="18"/>
          <w:szCs w:val="18"/>
          <w:b w:val="1"/>
          <w:bCs w:val="1"/>
          <w:color w:val="auto"/>
        </w:rPr>
        <w:t>TOI Parent,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(In US Dollars)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gridSpan w:val="7"/>
          </w:tcPr>
          <w:p>
            <w:pPr>
              <w:jc w:val="right"/>
              <w:ind w:right="101"/>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76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(770,748)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(9,503,489)</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cash provided by (used in)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2,421,577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2,388,219</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52,787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41,950</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7,500,000</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152,617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112,669</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(3,537,965)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(888,897)</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debt extinguishment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(5,186,341)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Bad debt recovery, net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(667,099)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(4,194,781)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(4,142,477)</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(1,339,690)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(782,278)</w:t>
            </w: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(319,390)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55,906</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32,211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(982,021)</w:t>
            </w: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(9,094,029)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(127,911)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(16,075)</w:t>
            </w: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1,431,749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5,067,777</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5,015,123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532,044</w:t>
            </w: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6,250,508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2,084,374</w:t>
            </w:r>
          </w:p>
        </w:tc>
      </w:tr>
      <w:tr>
        <w:trPr>
          <w:trHeight w:val="230"/>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536,674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(83,991)</w:t>
            </w:r>
          </w:p>
        </w:tc>
      </w:tr>
      <w:tr>
        <w:trPr>
          <w:trHeight w:val="210"/>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7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(9,344,708</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1,383,711</w:t>
            </w:r>
          </w:p>
        </w:tc>
        <w:tc>
          <w:tcPr>
            <w:tcW w:w="100" w:type="dxa"/>
            <w:vAlign w:val="bottom"/>
            <w:tcBorders>
              <w:bottom w:val="single" w:sz="8" w:color="CCEEFF"/>
            </w:tcBorders>
          </w:tcPr>
          <w:p>
            <w:pPr>
              <w:spacing w:after="0"/>
              <w:rPr>
                <w:sz w:val="18"/>
                <w:szCs w:val="18"/>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(1,975,629)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(835,539)</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intangible asset in acquisition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Cash paid for acquisition, net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(827,457)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notes receivable</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0"/>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(3,003,086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(8,485,539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 net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12,399,008</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(2,093,750)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(93,750)</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Principal payments on capital leases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(23,989)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(26,251)</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(342,500)</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Issuance of preferred stock</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17,882,261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11,936,507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Net increase in cash</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5,534,467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4,834,679</w:t>
            </w:r>
          </w:p>
        </w:tc>
        <w:tc>
          <w:tcPr>
            <w:tcW w:w="100" w:type="dxa"/>
            <w:vAlign w:val="bottom"/>
          </w:tcPr>
          <w:p>
            <w:pPr>
              <w:spacing w:after="0"/>
              <w:rPr>
                <w:sz w:val="18"/>
                <w:szCs w:val="18"/>
                <w:color w:val="auto"/>
              </w:rPr>
            </w:pPr>
          </w:p>
        </w:tc>
      </w:tr>
      <w:tr>
        <w:trPr>
          <w:trHeight w:val="22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5,997,530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2,446,201</w:t>
            </w:r>
          </w:p>
        </w:tc>
      </w:tr>
      <w:tr>
        <w:trPr>
          <w:trHeight w:val="263"/>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7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11,531,997</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7,280,880</w:t>
            </w:r>
          </w:p>
        </w:tc>
        <w:tc>
          <w:tcPr>
            <w:tcW w:w="100" w:type="dxa"/>
            <w:vAlign w:val="bottom"/>
            <w:tcBorders>
              <w:bottom w:val="single" w:sz="8" w:color="CCEEFF"/>
            </w:tcBorders>
          </w:tcPr>
          <w:p>
            <w:pPr>
              <w:spacing w:after="0"/>
              <w:rPr>
                <w:sz w:val="22"/>
                <w:szCs w:val="22"/>
                <w:color w:val="auto"/>
              </w:rPr>
            </w:pPr>
          </w:p>
        </w:tc>
      </w:tr>
      <w:tr>
        <w:trPr>
          <w:trHeight w:val="197"/>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Interest and principal forgiven from Paycheck Protection Program loans</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5,186,341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428,537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58,500</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193,096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168,530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TOI Parent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September 30, 2021 and December 31, 2020 and For the Nine Months Ended September 30, 2021 and 2020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 Description of the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Founded in 2018, TOI Parent, Inc. ("TOI Parent”) is the successor entity to The Oncology Institute CA, a Professional Corporation ("TOI CA"), which was founded in 2007. TOI Parent is a community oncology practice that operates value-based oncology services platforms. TOI Parent has three wholly-owned subsidiaries, TOI Acquisition, LLC ("TOI Acquisition"), TOI Management, LLC ("TOI Management"), and Hope, Health, and Healing Center, LLC ("HHHC"). Additionally, TOI Management holds master services agreements that confer controlling financial interests to TOI CA and its wholly-owned subsidiary Innovative Clinical Research Institute, LLC ("ICRI") as well as The Oncology Institute FL, LLC ("TOI FL," together with TOI Parent, TOI CA, and ICRI, the "Company").</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its founding in 2018, TOI Parent entered into a purchase agreement among TOI Acquisition, TOI Management, HHHC, Richy Agajanian Holdings, TOI CA, ICRI, and Richy Agajanian, M.D., not individually but in his capacity as the representative of the shareholders of TOI CA. As a result of the purchase, a portion of TOI Parent was sold to TOI HC I, LLC; M33 Growth I L.P.; TOI M, LLC; and OncologyCare Partners, LLC.</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Operationally, the Company’s medical centers provide a complete suite of medical oncology services including: physician services, in-house infusion and pharmacy, clinical trials, educational seminars, support groups, counseling, and 24/7 patient assistance. TOI’s mission is to heal and empower cancer patients through compassion, innovation, and state-of-the-art medical care. The Company brings comprehensive, integrated cancer care into the community setting, including clinical trials, palliative care programs, stem cell transplants, transfusions, and other care delivery models traditionally associated with non-community-based academic and tertiary care settings. In addition, the Company, through ICRI, performs cancer clinical trials through a network of experienced cancer care specialists. ICRI conducts clinical trials for a broad range of pharmaceutical and medical device companies from around the world.</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90 oncologists and mid-level professionals across 62 clinic locations located within four states: California, Nevada, Arizona, and Florida. TOI CA is comprised of the clinic locations in California, Nevada, and Arizona and TOI FL is comprised of the clinic locations in Florida. The Company has contractual relationships with multiple payors, serving Medicare, including Medicare Advantage, MediCal, and commercial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interim condensed consolidated financial statements are unaudited and have been prepared in accordance with Article 10 of Regulation S-X issued by the Securities and Exchange Commission ("SEC"). Accordingly, they do not include all of the information and note disclosures required by U.S. generally accepted accounting principles ("GAAP") for complete financial statements. However, the Company believes that the disclosures are adequate to make that information not misleading. In the opinion of management, all adjustments (of normal and recurring nature) considered necessary for fair presentation have been reflected in these interim statements. As such, the information included in the accompanying unaudited interim condensed consolidated financial statements should be read in conjunction with the Company’s audited consolidated financial statements and notes as of, and for the year ended December 31, 2020, issued on June 27, 2021.</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TOI Parent, its subsidiaries, all of which are controlled by the Parent through majority voting control or are variable interest entities ("VIEs") for which TOI Parent (through TOI Management) is the primary beneficiary. The Company consolidates entities in which it has a controlling financial interest based on either the variable interest entity or voting interest model. All significant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consolidates entities for which it has a variable interest and is determined to be the primary beneficiary. Noncontrolling interests in less-than-wholly-owned consolidated subsidiaries of the Company are presented as a component of total equity, to the extent they are material, to distinguish between the interests of the Company and the interests of the noncontrolling owners. Revenues, expenses, and income from these subsidiaries are included in the consolidated amounts as presented on the consolidated statements of operations.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holds variable interests in clinical practices, for which it cannot legally own, as a result of entering into master services agreements ("MSAs") with such practices. TOI Parent holds a variable interest in TOI CA, which is a VIE. The Company is the primary beneficiary of TOI CA and thus, consolidates TOI CA in its financial statements. Further, as a result of the February 2021 acquisition, discussed in Note 16, the Company holds an additional variable interest in TOI FL, which was determined to be a VIE. The Company determined that it is a primary beneficiary of TOI FL and thus, consolidates the entity in its financial statements. As discussed in Note 17, the shareholders of the Company's consolidating VIEs own a minority of the issued and outstanding common shares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all transactions that represent business combinations using the acquisition method of accounting under Accounting Standards Codification Topic No.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Per ASC 805, the identifiable assets acquired, the liabilities assumed, and any noncontrolling interest in the acquired entity are recognized and measured at their fair values on the date an entity obtains control of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the noncontrolling interests obtained, limited to one year from the acquisition date) are recorded when identified. Goodwill is determined as the excess of the fair value of the consideration exchanged in the acquisition over the fair value of the net assets acquired.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 presents the financial statements by segment in accordance with Accounting Standard Codification Topic No.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to provide investors with transparency into how the chief operating decision maker ("CODM") manages the business. The Company determined the CODM is its Chief Executive Officer. The CODM reviews financial information and allocates resources across three operating segments: patient services, dispensary, and clinical trials &amp; other. Each of the operating segments is also a reporting segment as described further in Note 20.</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or conditions. Significant items subject to such estimates and assumptions include estimated accounts receivable, useful lives and recoverability of long-lived and intangible assets, recoverability of goodwill, fair values of acquired assets and assumed liabilities in business combinations, fair value of goodwill, judgements related to revenue recognition, and deferred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issued substantive common shares since inception. The Company's Series A Preferred Shares are considered in-substance common stock since the net income (loss) of the Company is attributable to the Series A Preferred shareholders, and therefore, they are included in the denominator to calculate net income (loss) per share.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net income (loss) per share is calculated by dividing net income (loss) attributable to TOI Parent, Inc. by the weighted average Series A Preferred Shares, on an as-converted basis (see Note 19), and common shares issued and outstanding during the period. Diluted net income (loss) per share is calculated by dividing net income (loss) by the weighted average number of Series A Preferred Shares and common shares used in the basic income (loss) per share calculation plus the number of potential common shares that would be issued assuming exercise of all potentially dilutive instruments. Potentially dilutive instruments are excluded from the calculation of diluted income (loss) per share if the effect of including such instruments is anti-dilutive.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Company incurred a net loss in each period presented, the stock options outstanding during each period are anti-dilutive. As such, diluted net loss per share is the same as basic net loss per share for each period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special purpose acquisition company ("SPAC") transaction described in Note 22, the Company anticipates qualifying as an “emerging growth company,” as defined in Section 2(a) of the Securities Act of 1933, as modified by the Jumpstart Our Business Startups Act of 2012 (the “JOBS Act”), and it may take advantage of certain exemptions from various reporting requirements that are applicable to other public companies that are not emerging growth companies.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2020, the FASB issued Accounting Standards Update 2020-05, </w:t>
      </w:r>
      <w:r>
        <w:rPr>
          <w:rFonts w:ascii="Arial" w:cs="Arial" w:eastAsia="Arial" w:hAnsi="Arial"/>
          <w:sz w:val="16"/>
          <w:szCs w:val="16"/>
          <w:i w:val="1"/>
          <w:iCs w:val="1"/>
          <w:color w:val="auto"/>
        </w:rPr>
        <w:t>Leases (Topic 842), Effective Dates for Certain Entities</w:t>
      </w:r>
      <w:r>
        <w:rPr>
          <w:rFonts w:ascii="Arial" w:cs="Arial" w:eastAsia="Arial" w:hAnsi="Arial"/>
          <w:sz w:val="16"/>
          <w:szCs w:val="16"/>
          <w:color w:val="auto"/>
        </w:rPr>
        <w:t xml:space="preserve"> ("ASU 2020-05"), which deferred the effective dates of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in order to respond to the significant business and capital market disruptions caused by the COVID-19 pandemic. In February 2016, the Board issued ASU 2016-02, with an effective date for fiscal years beginning after December 15, 2018, including interim periods within those fiscal years, for public business entities. For all other entities, ASU 2016-02 was effective for fiscal years beginning after December 15, 2019, and interim periods within fiscal years beginning after December 15, 2020. In November 2019, the Board issued Accounting Standards Update 2019-10, </w:t>
      </w:r>
      <w:r>
        <w:rPr>
          <w:rFonts w:ascii="Arial" w:cs="Arial" w:eastAsia="Arial" w:hAnsi="Arial"/>
          <w:sz w:val="16"/>
          <w:szCs w:val="16"/>
          <w:i w:val="1"/>
          <w:iCs w:val="1"/>
          <w:color w:val="auto"/>
        </w:rPr>
        <w:t>Financial Instruments—Credit Losses (Topic 326),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815), and Leases (Topic 842): Effective Dates </w:t>
      </w:r>
      <w:r>
        <w:rPr>
          <w:rFonts w:ascii="Arial" w:cs="Arial" w:eastAsia="Arial" w:hAnsi="Arial"/>
          <w:sz w:val="16"/>
          <w:szCs w:val="16"/>
          <w:color w:val="auto"/>
        </w:rPr>
        <w:t>("ASU 2019-10"). The amendments in ASU 2019-10 deferred the effective dates for ASU 2016-02 for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in the “all other” category by an additional year. Therefore, ASU 2016-02 was effective for all other entities for fiscal years beginning after December 15, 2020, and interim periods within fiscal years beginning after December 15, 2021. The amendments in ASU 2020-05 defer the effective date for one year for entities in the “all other” category that have not yet issued their financial statements (or made financial statements available for issuance) reflecting the adoption of ASU 2016-02. Therefore, under the amendments, ASU 2016-02 is effective for entities within the “all other” category for fiscal years beginning after December 15, 2021, and interim periods within fiscal years beginning after December 15, 2022. Given the Company's assessment that it will likely qualify as an EGC pending a SPAC transaction, it would be considered to belong in the "all other" category.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FASB issued ASU 2016-02, which amends the existing accounting standards for leases. The new standard requires lessees to record a right-of-use (“ROU”) asset and a corresponding lease liability on the balance sheet (with the exception of short-term leases), whereas under current accounting standards the Company’s lease portfolio consists primarily of operating leases and is not recognized on its consolidated balance sheets. The Company will adopt ASC 842 effective January 1, 2022, using the alternative modified transition method and will record a cumulative-effect adjustment to the opening balance of retained earnings as of that date. Prior periods will not be restated. The Company believes the largest impact will be on the consolidated balance sheets for the accounting of facilities-related leases, which represents a majority of its operating leases it has entered into as a lessee. These leases will be recognized under the new standard as ROU assets and operating lease liabilities. The Company will also provide expanded disclosures for its leasing arrangements. The results of operations are not expected to significantly change after adoption of the new standard.</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spacing w:after="0" w:line="286" w:lineRule="auto"/>
        <w:rPr>
          <w:sz w:val="20"/>
          <w:szCs w:val="20"/>
          <w:color w:val="auto"/>
        </w:rPr>
      </w:pPr>
      <w:r>
        <w:rPr>
          <w:rFonts w:ascii="Arial" w:cs="Arial" w:eastAsia="Arial" w:hAnsi="Arial"/>
          <w:sz w:val="16"/>
          <w:szCs w:val="16"/>
          <w:color w:val="auto"/>
        </w:rPr>
        <w:t xml:space="preserve">In June 2016, the FASB issued Accounting Standards Update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which changes the way entities recognize impairment of many financial assets by requiring immediate recognition of estimated credit losses expected to occur over their remaining life, instead of when incurred. In November 2018, the FASB issued Accounting Standard Update 2018-19,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Topic 326, Financial Instruments–Credit Losses </w:t>
      </w:r>
      <w:r>
        <w:rPr>
          <w:rFonts w:ascii="Arial" w:cs="Arial" w:eastAsia="Arial" w:hAnsi="Arial"/>
          <w:sz w:val="16"/>
          <w:szCs w:val="16"/>
          <w:color w:val="auto"/>
        </w:rPr>
        <w:t>("ASU 2018-19"), which amends Subtopic 326-20 (created by ASU 2016-13) to explicitly state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operating lease receivables are not in the scope of Subtopic 326-20. Additionally, in April 2019, the FASB issued Accounting Standard Update 2019-04, </w:t>
      </w:r>
      <w:r>
        <w:rPr>
          <w:rFonts w:ascii="Arial" w:cs="Arial" w:eastAsia="Arial" w:hAnsi="Arial"/>
          <w:sz w:val="16"/>
          <w:szCs w:val="16"/>
          <w:i w:val="1"/>
          <w:iCs w:val="1"/>
          <w:color w:val="auto"/>
        </w:rPr>
        <w:t xml:space="preserve">Codification Improvements to Topic 326, Financial Instruments—Credit Losses, Topic 815, Derivatives and Hedging, and Topic 825, Financial Instruments </w:t>
      </w:r>
      <w:r>
        <w:rPr>
          <w:rFonts w:ascii="Arial" w:cs="Arial" w:eastAsia="Arial" w:hAnsi="Arial"/>
          <w:sz w:val="16"/>
          <w:szCs w:val="16"/>
          <w:color w:val="auto"/>
        </w:rPr>
        <w:t xml:space="preserve">("ASU 2019-04"), in May 2019, the FASB issued Accounting Standards Update 2019-05, </w:t>
      </w:r>
      <w:r>
        <w:rPr>
          <w:rFonts w:ascii="Arial" w:cs="Arial" w:eastAsia="Arial" w:hAnsi="Arial"/>
          <w:sz w:val="16"/>
          <w:szCs w:val="16"/>
          <w:i w:val="1"/>
          <w:iCs w:val="1"/>
          <w:color w:val="auto"/>
        </w:rPr>
        <w:t>Financial Instruments—Credit Losses (Topic 326):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Transition Relief </w:t>
      </w:r>
      <w:r>
        <w:rPr>
          <w:rFonts w:ascii="Arial" w:cs="Arial" w:eastAsia="Arial" w:hAnsi="Arial"/>
          <w:sz w:val="16"/>
          <w:szCs w:val="16"/>
          <w:color w:val="auto"/>
        </w:rPr>
        <w:t>("ASU 2019-05"), and in November 2019, the FASB issued Accounting Standards Update 2019-10,</w:t>
      </w:r>
      <w:r>
        <w:rPr>
          <w:rFonts w:ascii="Arial" w:cs="Arial" w:eastAsia="Arial" w:hAnsi="Arial"/>
          <w:sz w:val="16"/>
          <w:szCs w:val="16"/>
          <w:i w:val="1"/>
          <w:iCs w:val="1"/>
          <w:color w:val="auto"/>
        </w:rPr>
        <w:t xml:space="preserve"> Financial Instruments—Credit Losses (Topic 326), Derivatives and Hedging (Topic 815), and Leases (Topic 842): Effective Dates, and ASU 2019-11, Codification Improvements to Topic 326, Financial Instruments—Credit Losses </w:t>
      </w:r>
      <w:r>
        <w:rPr>
          <w:rFonts w:ascii="Arial" w:cs="Arial" w:eastAsia="Arial" w:hAnsi="Arial"/>
          <w:sz w:val="16"/>
          <w:szCs w:val="16"/>
          <w:color w:val="auto"/>
        </w:rPr>
        <w:t>("ASU 2019-10"), to provide further clarifications on certain aspects of ASU 2016-13 and to extend the nonpublic</w:t>
      </w:r>
      <w:r>
        <w:rPr>
          <w:rFonts w:ascii="Arial" w:cs="Arial" w:eastAsia="Arial" w:hAnsi="Arial"/>
          <w:sz w:val="16"/>
          <w:szCs w:val="16"/>
          <w:i w:val="1"/>
          <w:iCs w:val="1"/>
          <w:color w:val="auto"/>
        </w:rPr>
        <w:t xml:space="preserve"> </w:t>
      </w:r>
      <w:r>
        <w:rPr>
          <w:rFonts w:ascii="Arial" w:cs="Arial" w:eastAsia="Arial" w:hAnsi="Arial"/>
          <w:sz w:val="16"/>
          <w:szCs w:val="16"/>
          <w:color w:val="auto"/>
        </w:rPr>
        <w:t>entity effective date of ASU 2016-13. The changes (as amended) are effective for the Company for annual and interim periods in fiscal years beginning after December 15, 2022. The entity may early adopt ASU 2016-13, as amended, for annual and interim periods in fiscal years beginning after December 15, 2018. While the Company expects its allowance for credit losses to increase upon adoption of ASU 2016-13, the Company does not expect the adoption of ASU 2016-13 to have a material effect on its consolidated financial statements.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Accounting Standards Update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("ASU 2017-04"). This new standard allows entities to eliminate Step 2 from the goodwill impairment test. Entities should perform their</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impairment tests by comparing the fair value of a reporting unit with its carrying amount and recognize an impairment charge for the amount by which the carrying amount exceeds the reporting unit's fair value. Entities should apply the amendments in ASU 2017-04 on a prospective basis and is effective for entities in the "all other" category for fiscal years beginning after December 15, 2021. Given the Company's assessment that it will likely qualify as an EGC pending a SPAC transaction, it would be considered to belong in the "all other" category. The Company is currently evaluating the effect of this ASU on the Company’s condensed consolidated financial statements and related disclosures.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2019, the FASB issued Accounting Standards Update 2019-12, </w:t>
      </w:r>
      <w:r>
        <w:rPr>
          <w:rFonts w:ascii="Arial" w:cs="Arial" w:eastAsia="Arial" w:hAnsi="Arial"/>
          <w:sz w:val="18"/>
          <w:szCs w:val="18"/>
          <w:i w:val="1"/>
          <w:iCs w:val="1"/>
          <w:color w:val="auto"/>
        </w:rPr>
        <w:t>Simplifying the Accounting for Income Taxes which amends ASC 740,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(“ASC 740”) </w:t>
      </w:r>
      <w:r>
        <w:rPr>
          <w:rFonts w:ascii="Arial" w:cs="Arial" w:eastAsia="Arial" w:hAnsi="Arial"/>
          <w:sz w:val="18"/>
          <w:szCs w:val="18"/>
          <w:color w:val="auto"/>
        </w:rPr>
        <w:t>("ASU 2019-12"). This new standard is intended to simplify accounting for income taxes by removing certain exceptions to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ASC 740 and amending existing guidance to improve consistent application of ASC 740. The new standard is effective for the Company beginning January 1, 2022. The guidance in the new standard has various elements, some of which are applied on a prospective basis and others on a retrospective basis with earlier application permitted. The Company is currently evaluating the effect of this ASU on the Company’s condensed consolidated financial statements and related disclosures.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August 2020, the FASB issued Accounting Standards Update 2020-06, </w:t>
      </w:r>
      <w:r>
        <w:rPr>
          <w:rFonts w:ascii="Arial" w:cs="Arial" w:eastAsia="Arial" w:hAnsi="Arial"/>
          <w:sz w:val="16"/>
          <w:szCs w:val="16"/>
          <w:i w:val="1"/>
          <w:iCs w:val="1"/>
          <w:color w:val="auto"/>
        </w:rPr>
        <w:t>Debt - 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 Contracts in Entity's Own Equity (Subtopic 815-40) </w:t>
      </w:r>
      <w:r>
        <w:rPr>
          <w:rFonts w:ascii="Arial" w:cs="Arial" w:eastAsia="Arial" w:hAnsi="Arial"/>
          <w:sz w:val="16"/>
          <w:szCs w:val="16"/>
          <w:color w:val="auto"/>
        </w:rPr>
        <w:t>("ASU 2020-06"). This new standard simplifies the accounting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instruments by removing the separation models for convertible debt with a cash conversion feature and for convertible instruments with a beneficial conversion feature. As a result, more convertible instruments will be reported as a single liability instrument with no separate accounting for embedded conversion features. Additionally, this new standard amends the diluted earnings per share calculation for convertible instruments by requiring the use of the if-converted method. The treasury stock method is no longer available. Entities may adopt ASU 2020-06 either through a modified or fully retrospective method of transition and is effective for entities in the "all other" category for fiscal years beginning after December 15, 2023. Given the Company's assessment that it will likely qualify as an EGC pending a SPAC transaction, it would be considered to belong in the "all other" category. The Company is currently evaluating the effect of this ASU on the Company’s condensed consolidated financial statements and related disclosures.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3. Significant Risks and Uncertainties Including Business and Credit 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London Interbank Offered Rate (“LIBOR”) may be eliminated in the near future. It is expected that a number of banks currently reporting information used to set LIBOR will stop doing so at the end of 2021 when their reporting commitments end. This will either end the publication of LIBOR immediately or degrade its quality such that it would no longer be a relevant metric to the Company. Change in LIBOR could affect the interest rates of the revolving credit facility and unsecured note payable. If LIBOR is no longer available, the Company will pursue alternative interest rate calculations in its revolving credit facility and unsecured note payable. However, if no alternative can be determined, the LIBOR rate component will no longer be used in determining the rates. As of September 30, 2021 and December 31, 2020, the potential effect of no longer using the LIBOR rate component to the Company’s interest rates would not have had a material effect on the interest rate in the credit facility or the note, thus the discontinuation of LIBOR is not expected to have a material effect on the Company’s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accounts receivable.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accounts in a financial institution may, at times, exceed the Federal Deposit Insurance Corporation ("FDIC") coverage of $250,000 per account. The Company has not experienced losses on these accounts, and management believes the Company is not exposed to significant risks on such accounts.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accounts receivable has implicit collection risk. The Company grants credit without collateral to their patients, most of whom are local residents and are insured under third-party payor agreements. The Company believes this risk is partially mitigated by the Company's establishment of long-term agreements and relationships with third-party payors that provide the Company with insight into historic collectability and improve the collections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Concentration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concentration of net revenue on a percentage basis for major payors at September 30, 2021 and 2020 are as follows:</w:t>
      </w:r>
    </w:p>
    <w:p>
      <w:pPr>
        <w:spacing w:after="0" w:line="221"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net revenue: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Payor A</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Payor B</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648"/>
        </w:trPr>
        <w:tc>
          <w:tcPr>
            <w:tcW w:w="8360" w:type="dxa"/>
            <w:vAlign w:val="bottom"/>
            <w:tcBorders>
              <w:bottom w:val="single" w:sz="8" w:color="auto"/>
            </w:tcBorders>
          </w:tcPr>
          <w:p>
            <w:pPr>
              <w:jc w:val="right"/>
              <w:ind w:right="257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The concentration of gross receivables on a percentage basis for major payors at September 30, 2021 and December 31, 2020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September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9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30, 2021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31,2020</w:t>
            </w:r>
          </w:p>
        </w:tc>
        <w:tc>
          <w:tcPr>
            <w:tcW w:w="160" w:type="dxa"/>
            <w:vAlign w:val="bottom"/>
          </w:tcPr>
          <w:p>
            <w:pPr>
              <w:spacing w:after="0"/>
              <w:rPr>
                <w:sz w:val="20"/>
                <w:szCs w:val="20"/>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gross receivables: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Payor B</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Payor D</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revenue is generated from customers located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Concentration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concentration of cost of sales on a percentage basis for major vendors at September 30, 2021 and 2020 are as follows:</w:t>
      </w:r>
    </w:p>
    <w:p>
      <w:pPr>
        <w:spacing w:after="0" w:line="221"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cost of sales: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Vendor A</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Vendor B</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concentration of gross payables on a percentage basis for major vendors at September 30, 2021 and December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September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9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30, 2021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160" w:type="dxa"/>
            <w:vAlign w:val="bottom"/>
          </w:tcPr>
          <w:p>
            <w:pPr>
              <w:spacing w:after="0"/>
              <w:rPr>
                <w:sz w:val="20"/>
                <w:szCs w:val="20"/>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gross payables: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Vendor A</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Vendor B</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January 2020, the Secretary of the U.S. Department of Health and Human Services (“HHS”) declared a national public health emergency due to a novel strain of coronavirus ("COVID-19"). In March 2020, the World Health Organization declared the outbreak of COVID-19, a disease caused by this coronavirus, a pandemic. The resulting measures to contain the spread and impact of COVID-19 and other developments related to COVID-19 affected the Company’s results of operations during 2020. Where applicable, the impact resulting from the COVID-19 pandemic during the nine months ended September 30, 2021, has been considered, including updated assessments of the recoverability of assets and evaluation of potential credit losses. As a result of the COVID-19 pandemic, federal and state governments have passed legislation, promulgated regulations, and taken other administrative actions intended to assist healthcare providers in providing care to COVID-19 and other patients during the public health emergency. Sources of relief include the Coronavirus Aid, Relief and Economic Security Act (the “CARES Act”), which was enacted on March 27, 2020, the Paycheck Protection Program and Health Care Enhancement Act (the “PPPHCE Act”), which was enacted on April 24, 2020, and the Consolidated Appropriations Act, 2021 (the “CAA”), which was enacted on December 27, 2020. In total, the CARES Act, PPPHCE Act, and the CAA authorize $178 billion in funding to be distributed to hospitals and other healthcare providers through the Public Health and Social Services Emergency Fund (the “PHSSEF”). In addition, the CARES Act provides for an expansion of the Medicare Accelerated and Advance Payment Program whereby inpatient acute care hospitals and other eligible providers were able to request accelerated payment of up to 100% of their Medicare payment amount for a six-month period to be repaid through withholding of future Medicare fee-for-service payments. Various other state and local programs also exist to provide relief, either independently or through distribution of monies received via the CARES Act. During the nine months ended September 30, 2021 and the year ended December 31, 2020, the Company was a beneficiary of these stimulus measures.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spacing w:after="0" w:line="257" w:lineRule="auto"/>
        <w:rPr>
          <w:sz w:val="20"/>
          <w:szCs w:val="20"/>
          <w:color w:val="auto"/>
        </w:rPr>
      </w:pPr>
      <w:r>
        <w:rPr>
          <w:rFonts w:ascii="Arial" w:cs="Arial" w:eastAsia="Arial" w:hAnsi="Arial"/>
          <w:sz w:val="18"/>
          <w:szCs w:val="18"/>
          <w:color w:val="auto"/>
        </w:rPr>
        <w:t>The Company received $4,992,758 in Paycheck Protection Program (“PPP”) loans under the CARES Act. PPP loans may be eligible for forgiveness if the funds were used for eligible payroll costs, payments on business mortgage interest payments, rent, or utilities during either the 8- or 24-week period after disbursement (see Note 11). The Company has elected to account for the loans as current debt until such loans are forgiven. Forgiveness was received during the nine months ended September 30, 2021, and as such, the Company recognized the loan principal balance and accrued interest as a gain on debt extinguishment in the condensed consolidated income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received $2,726,856 from CMS under the Accelerated and Advance Payment Program which is an advance on future Medicare payments and will be recouped from future payments due to the Company by Medicare after 120 days. Effective October 1, 2020, the program was amended such that providers are required to repay accelerated payments beginning one year after the payment was issued. After such one-year period, Medicare payments owed to providers will be recouped against Medicare payments according to the repayment terms. As of September 30, 2021 and December 31, 2020, the Medicare accelerated payments are reflected within accrued expenses and other current liabilities in the consolidated balance sheets. The $2,726,856 is expected to be fully recouped by the first quarter of 2022.</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received funding from United States Department of HHS as part of the Provider Relief Funding under the CARES Act. Provider Relief Funding is paid in the form of a grant and does not require repayment if used to cover lost revenue, as defined, attributable to COVID-19 and healthcare-related expenses, as defined, including qualifying direct labor, paid or purchased to prevent, prepare for, and respond to COVID-19. Under International Accounting Standard 20, </w:t>
      </w:r>
      <w:r>
        <w:rPr>
          <w:rFonts w:ascii="Arial" w:cs="Arial" w:eastAsia="Arial" w:hAnsi="Arial"/>
          <w:sz w:val="17"/>
          <w:szCs w:val="17"/>
          <w:i w:val="1"/>
          <w:iCs w:val="1"/>
          <w:color w:val="auto"/>
        </w:rPr>
        <w:t>Accounting for Government Grants</w:t>
      </w:r>
      <w:r>
        <w:rPr>
          <w:rFonts w:ascii="Arial" w:cs="Arial" w:eastAsia="Arial" w:hAnsi="Arial"/>
          <w:sz w:val="17"/>
          <w:szCs w:val="17"/>
          <w:color w:val="auto"/>
        </w:rPr>
        <w:t xml:space="preserve"> ("IAS 20"), grants are recognized when an entity has reasonable assurance that 1) it will comply with the relevant conditions and 2) the grant will be received. The Company recognized the $1,022,520 in other income related to the HHS funding during the nine months ended September 30, 2021 by applying IAS 20 by analogy.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consists primarily of amounts due from third-party payors and patients.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Accounts receivable as of September 30, 2021 and December 31, 2020 consist of the following:</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Oral drug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2,668,582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Capitated accounts receivable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663,562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353,250</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FFS accounts receivable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14,355,205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10,962,394</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Clinical trials accounts receivable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1,947,626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1,718,846</w:t>
            </w:r>
          </w:p>
        </w:tc>
        <w:tc>
          <w:tcPr>
            <w:tcW w:w="8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trade receivables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2,621,630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1,803,548</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22,256,605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17,145,910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direct write-offs related to bad debts for the nine months ended September 30, 2021 and 2020. In the nine months ended September 30, 2021 and 2020, the Company had net bad debt expense (recovery) of $667,099 and $0,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recognizes revenue in accordance with ASC 606 on the basis of its satisfaction of outstanding performance obligations. Management typically fulfills its performance obligations over time, either over the course of a single treatment ("FFS"), a month (capitation), or a number of months (clinical research). Management also has revenue that is satisfied at a point in time (dispensary).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categorizes revenue based on various factors such as the nature of contracts, payors, order to billing arrangements, and cash flows received by the Company,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640" w:type="dxa"/>
            <w:vAlign w:val="bottom"/>
            <w:gridSpan w:val="6"/>
          </w:tcPr>
          <w:p>
            <w:pPr>
              <w:ind w:left="4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4"/>
              </w:rPr>
              <w:t>September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2"/>
              </w:rPr>
              <w:t>September</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September</w:t>
            </w:r>
          </w:p>
        </w:tc>
        <w:tc>
          <w:tcPr>
            <w:tcW w:w="100" w:type="dxa"/>
            <w:vAlign w:val="bottom"/>
          </w:tcPr>
          <w:p>
            <w:pPr>
              <w:spacing w:after="0"/>
              <w:rPr>
                <w:sz w:val="16"/>
                <w:szCs w:val="16"/>
                <w:color w:val="auto"/>
              </w:rPr>
            </w:pPr>
          </w:p>
        </w:tc>
      </w:tr>
      <w:tr>
        <w:trPr>
          <w:trHeight w:val="234"/>
        </w:trPr>
        <w:tc>
          <w:tcPr>
            <w:tcW w:w="42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30, 2020</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30, 2020</w:t>
            </w:r>
          </w:p>
        </w:tc>
        <w:tc>
          <w:tcPr>
            <w:tcW w:w="100" w:type="dxa"/>
            <w:vAlign w:val="bottom"/>
            <w:tcBorders>
              <w:bottom w:val="single" w:sz="8" w:color="CCEEFF"/>
            </w:tcBorders>
          </w:tcPr>
          <w:p>
            <w:pPr>
              <w:spacing w:after="0"/>
              <w:rPr>
                <w:sz w:val="20"/>
                <w:szCs w:val="20"/>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Patient services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Capitated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14,124,468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9,720,441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39,351,829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26,177,975</w:t>
            </w: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 revenue</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18,842,933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19,943,443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53,023,939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60,807,538</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32,967,401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29,663,884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92,375,768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86,985,513</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 revenue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17,918,035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16,162,528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53,317,877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46,347,096</w:t>
            </w: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Clinical research trials &amp; other revenue</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1,389,522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1,423,032</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5,004,889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5,216,372</w:t>
            </w: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52,274,958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47,249,444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150,698,534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138,548,981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20 for segment reporting for disaggregation of revenue by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 and Liabilities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ASC 606, contract assets represent rights to payment for performance contingent on something other than the passage of time and accounts receivable represent rights to payment for performance that are only contingent upon the passage of time. The Company does not have any contract assets as of September 30, 2021 and December 31, 2020. Refer to Note 4 for accounts receivable as of September 30, 2021 and December 31, 2020.</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spacing w:after="0" w:line="263" w:lineRule="auto"/>
        <w:rPr>
          <w:sz w:val="20"/>
          <w:szCs w:val="20"/>
          <w:color w:val="auto"/>
        </w:rPr>
      </w:pPr>
      <w:r>
        <w:rPr>
          <w:rFonts w:ascii="Arial" w:cs="Arial" w:eastAsia="Arial" w:hAnsi="Arial"/>
          <w:sz w:val="18"/>
          <w:szCs w:val="18"/>
          <w:color w:val="auto"/>
        </w:rPr>
        <w:t>Contract liabilities represent cash that has been received for contracts, but for which performance is still unsatisfied. As of September 30, 2021 and December 31, 2020, contract liabilities amounted to $370,000 and $370,000, respectively. Contract liabilities are presented as "deferred revenue and refund liabilities" under accrued expenses and other current liabilities, refer to Note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Unsatisfied Performance Obligations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accounting term for the Company's contracts do not extend past a year in duration. Additionally, the Company applies the 'as invoiced' practical expedient to its clinical research contracts.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Note 6. Inventories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w w:val="96"/>
              </w:rPr>
              <w:t>The Company purchases intravenous chemotherapy drugs and oral prescription drugs from various suppliers.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The Company's inventories as of September 30, 2021 and December 31, 2020 were as follows: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September</w:t>
            </w: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Oral drug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1,712,606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1,414,250</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IV drug inventory</w:t>
            </w:r>
          </w:p>
        </w:tc>
        <w:tc>
          <w:tcPr>
            <w:tcW w:w="16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4,043,972</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2,939,982</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5,756,578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 and Hierarchy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amounts of the Company’s financial instruments at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5040" w:type="dxa"/>
            <w:vAlign w:val="bottom"/>
            <w:tcBorders>
              <w:bottom w:val="single" w:sz="8" w:color="CCEEFF"/>
            </w:tcBorders>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CCEEFF"/>
            </w:tcBorders>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w:t>
            </w:r>
          </w:p>
        </w:tc>
        <w:tc>
          <w:tcPr>
            <w:tcW w:w="3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11,531,997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5,997,530</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22,256,605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17,145,910</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581,451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112,663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3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19,013,532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12,643,024</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cash, accounts receivable, other receivables, and accounts payable approximates fair value because of the short maturity and high liquidity of these instruments.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the carrying amounts of the financial instruments shown in the above table as of September 30, 2021 and December 31, 2020 represent the amounts that would be received to sell those assets or that would be paid to transfer those liabilities in an orderly transaction between market participants at that date. Those measurements maximize the use of observable inputs.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There were no transfers between fair value measurement levels during the nine months ended September 30, 2021 and the year ended December 31,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property and equipment at historical cost less accumulated depreciation.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Property and equipment, net, consist of the following:</w:t>
            </w: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December</w:t>
            </w:r>
          </w:p>
        </w:tc>
      </w:tr>
      <w:tr>
        <w:trPr>
          <w:trHeight w:val="234"/>
        </w:trPr>
        <w:tc>
          <w:tcPr>
            <w:tcW w:w="5800" w:type="dxa"/>
            <w:vAlign w:val="bottom"/>
          </w:tcPr>
          <w:p>
            <w:pPr>
              <w:spacing w:after="0"/>
              <w:rPr>
                <w:sz w:val="20"/>
                <w:szCs w:val="20"/>
                <w:color w:val="auto"/>
              </w:rPr>
            </w:pPr>
          </w:p>
        </w:tc>
        <w:tc>
          <w:tcPr>
            <w:tcW w:w="2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Useful lives</w:t>
            </w:r>
          </w:p>
        </w:tc>
        <w:tc>
          <w:tcPr>
            <w:tcW w:w="1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60 months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739,853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Office furniture</w:t>
            </w:r>
          </w:p>
        </w:tc>
        <w:tc>
          <w:tcPr>
            <w:tcW w:w="2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80 months</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305,506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270,761</w:t>
            </w:r>
          </w:p>
        </w:tc>
        <w:tc>
          <w:tcPr>
            <w:tcW w:w="80" w:type="dxa"/>
            <w:vAlign w:val="bottom"/>
          </w:tcPr>
          <w:p>
            <w:pPr>
              <w:spacing w:after="0"/>
              <w:rPr>
                <w:sz w:val="18"/>
                <w:szCs w:val="18"/>
                <w:color w:val="auto"/>
              </w:rPr>
            </w:pPr>
          </w:p>
        </w:tc>
      </w:tr>
      <w:tr>
        <w:trPr>
          <w:trHeight w:val="202"/>
        </w:trPr>
        <w:tc>
          <w:tcPr>
            <w:tcW w:w="580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Shorter of lease term or estimated</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useful life</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3,181,788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1,684,889</w:t>
            </w:r>
          </w:p>
        </w:tc>
        <w:tc>
          <w:tcPr>
            <w:tcW w:w="80" w:type="dxa"/>
            <w:vAlign w:val="bottom"/>
            <w:shd w:val="clear" w:color="auto" w:fill="CCEEFF"/>
          </w:tcPr>
          <w:p>
            <w:pPr>
              <w:spacing w:after="0"/>
              <w:rPr>
                <w:sz w:val="20"/>
                <w:szCs w:val="20"/>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Medical equipment</w:t>
            </w:r>
          </w:p>
        </w:tc>
        <w:tc>
          <w:tcPr>
            <w:tcW w:w="2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60 months</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719,035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515,386</w:t>
            </w: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204,724</w:t>
            </w:r>
          </w:p>
        </w:tc>
        <w:tc>
          <w:tcPr>
            <w:tcW w:w="80" w:type="dxa"/>
            <w:vAlign w:val="bottom"/>
            <w:shd w:val="clear" w:color="auto" w:fill="CCEEFF"/>
          </w:tcPr>
          <w:p>
            <w:pPr>
              <w:spacing w:after="0"/>
              <w:rPr>
                <w:sz w:val="18"/>
                <w:szCs w:val="18"/>
                <w:color w:val="auto"/>
              </w:rPr>
            </w:pPr>
          </w:p>
        </w:tc>
      </w:tr>
      <w:tr>
        <w:trPr>
          <w:trHeight w:val="202"/>
        </w:trPr>
        <w:tc>
          <w:tcPr>
            <w:tcW w:w="5800" w:type="dxa"/>
            <w:vAlign w:val="bottom"/>
          </w:tcPr>
          <w:p>
            <w:pPr>
              <w:spacing w:after="0"/>
              <w:rPr>
                <w:sz w:val="17"/>
                <w:szCs w:val="17"/>
                <w:color w:val="auto"/>
              </w:rPr>
            </w:pPr>
          </w:p>
        </w:tc>
        <w:tc>
          <w:tcPr>
            <w:tcW w:w="26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Shorter of lease term or estimated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Equipment capital lease assets</w:t>
            </w:r>
          </w:p>
        </w:tc>
        <w:tc>
          <w:tcPr>
            <w:tcW w:w="26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useful life</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162,769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162,769</w:t>
            </w:r>
          </w:p>
        </w:tc>
        <w:tc>
          <w:tcPr>
            <w:tcW w:w="80" w:type="dxa"/>
            <w:vAlign w:val="bottom"/>
          </w:tcPr>
          <w:p>
            <w:pPr>
              <w:spacing w:after="0"/>
              <w:rPr>
                <w:sz w:val="20"/>
                <w:szCs w:val="20"/>
                <w:color w:val="auto"/>
              </w:rPr>
            </w:pPr>
          </w:p>
        </w:tc>
      </w:tr>
      <w:tr>
        <w:trPr>
          <w:trHeight w:val="22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(1,721,078)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(1,158,403)</w:t>
            </w: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3,517,179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2,104,225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nine months ended September 30, 2021 and September 30, 2020 was $562,676 and $513,830,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September 30, 2021 and December 31, 2020 consist of the following:</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Compensation, including bonuses, fringe benefits, and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and refund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September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360"/>
              <w:spacing w:after="0" w:line="195" w:lineRule="exact"/>
              <w:rPr>
                <w:sz w:val="20"/>
                <w:szCs w:val="20"/>
                <w:color w:val="auto"/>
              </w:rPr>
            </w:pPr>
            <w:r>
              <w:rPr>
                <w:rFonts w:ascii="Arial" w:cs="Arial" w:eastAsia="Arial" w:hAnsi="Arial"/>
                <w:sz w:val="18"/>
                <w:szCs w:val="18"/>
                <w:color w:val="auto"/>
                <w:w w:val="87"/>
              </w:rPr>
              <w:t>3,871,605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3,809,631</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1,657,120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3,378,905</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6,229,486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2,263,584</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11,758,211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9,452,120</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124" w:right="339" w:bottom="1440" w:gutter="0" w:footer="0" w:header="0"/>
          <w:type w:val="continuous"/>
        </w:sectPr>
      </w:pPr>
    </w:p>
    <w:p>
      <w:pPr>
        <w:spacing w:after="0" w:line="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Refund liabilities as of September 30, 2021 and December 31, 2020 primarily consist of cumulative adjustments made to capitated and FFS revenue recognized in prior years.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clinics, office buildings, and certain equipment under noncancellable capital and operating lease agreements that expire at various dates through July 2028. See Note 15 for the lease commitment disclosure.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Monthly payments for these leases range from $1,000 to $36,130. All lease agreements generally require the Company to pay maintenance, repairs, property taxes, and insurance costs, which are variable amounts based on actual costs incurred during each applicable period. The following summarizes the Company's capital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September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December</w:t>
            </w:r>
          </w:p>
        </w:tc>
      </w:tr>
      <w:tr>
        <w:trPr>
          <w:trHeight w:val="234"/>
        </w:trPr>
        <w:tc>
          <w:tcPr>
            <w:tcW w:w="62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CCEEFF"/>
            </w:tcBorders>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162,769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162,769</w:t>
            </w: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(37,980)</w:t>
            </w:r>
          </w:p>
        </w:tc>
      </w:tr>
      <w:tr>
        <w:trPr>
          <w:trHeight w:val="21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124,789</w:t>
            </w:r>
          </w:p>
        </w:tc>
        <w:tc>
          <w:tcPr>
            <w:tcW w:w="100" w:type="dxa"/>
            <w:vAlign w:val="bottom"/>
            <w:tcBorders>
              <w:bottom w:val="single" w:sz="8" w:color="CCEEFF"/>
            </w:tcBorders>
          </w:tcPr>
          <w:p>
            <w:pPr>
              <w:spacing w:after="0"/>
              <w:rPr>
                <w:sz w:val="18"/>
                <w:szCs w:val="18"/>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 installments of obligations under capital leases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31,191</w:t>
            </w:r>
          </w:p>
        </w:tc>
        <w:tc>
          <w:tcPr>
            <w:tcW w:w="100" w:type="dxa"/>
            <w:vAlign w:val="bottom"/>
            <w:shd w:val="clear" w:color="auto" w:fill="CCEEFF"/>
          </w:tcPr>
          <w:p>
            <w:pPr>
              <w:spacing w:after="0"/>
              <w:rPr>
                <w:sz w:val="18"/>
                <w:szCs w:val="18"/>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Long-term portion of obligations under capital leases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72,028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97,044</w:t>
            </w: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capital lease obligations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and current portion of long-term debt at September 30, 2021 and December 31, 2020 consists of the following: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1% Paycheck Protection Program Loan, due May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right="3460"/>
        <w:spacing w:after="0" w:line="260" w:lineRule="auto"/>
        <w:rPr>
          <w:sz w:val="20"/>
          <w:szCs w:val="20"/>
          <w:color w:val="auto"/>
        </w:rPr>
      </w:pPr>
      <w:r>
        <w:rPr>
          <w:rFonts w:ascii="Arial" w:cs="Arial" w:eastAsia="Arial" w:hAnsi="Arial"/>
          <w:sz w:val="18"/>
          <w:szCs w:val="18"/>
          <w:color w:val="auto"/>
        </w:rPr>
        <w:t>1% Small Business Administration Loan, due May 2, 2022 Current portion of term loan payable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Unamortized debt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 and current portion of long-term debt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jc w:val="center"/>
              <w:ind w:left="98"/>
              <w:spacing w:after="0"/>
              <w:rPr>
                <w:sz w:val="20"/>
                <w:szCs w:val="20"/>
                <w:color w:val="auto"/>
              </w:rPr>
            </w:pPr>
            <w:r>
              <w:rPr>
                <w:rFonts w:ascii="Arial" w:cs="Arial" w:eastAsia="Arial" w:hAnsi="Arial"/>
                <w:sz w:val="18"/>
                <w:szCs w:val="18"/>
                <w:b w:val="1"/>
                <w:bCs w:val="1"/>
                <w:color w:val="auto"/>
                <w:w w:val="88"/>
              </w:rPr>
              <w:t>September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10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30, 2021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2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1040" w:type="dxa"/>
            <w:vAlign w:val="bottom"/>
            <w:tcBorders>
              <w:top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r>
    </w:tbl>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2,992,758</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5,125,000</w:t>
      </w:r>
      <w:r>
        <w:rPr>
          <w:rFonts w:ascii="Arial" w:cs="Arial" w:eastAsia="Arial" w:hAnsi="Arial"/>
          <w:sz w:val="16"/>
          <w:szCs w:val="16"/>
          <w:color w:val="auto"/>
        </w:rPr>
        <w:t>375,000</w:t>
      </w:r>
    </w:p>
    <w:p>
      <w:pPr>
        <w:spacing w:after="0" w:line="224" w:lineRule="exact"/>
        <w:rPr>
          <w:sz w:val="20"/>
          <w:szCs w:val="20"/>
          <w:color w:val="auto"/>
        </w:rPr>
      </w:pPr>
    </w:p>
    <w:p>
      <w:pPr>
        <w:jc w:val="both"/>
        <w:ind w:left="660"/>
        <w:spacing w:after="0"/>
        <w:tabs>
          <w:tab w:leader="none" w:pos="2500" w:val="left"/>
        </w:tabs>
        <w:rPr>
          <w:sz w:val="20"/>
          <w:szCs w:val="20"/>
          <w:color w:val="auto"/>
        </w:rPr>
      </w:pPr>
      <w:r>
        <w:rPr>
          <w:rFonts w:ascii="Arial" w:cs="Arial" w:eastAsia="Arial" w:hAnsi="Arial"/>
          <w:sz w:val="18"/>
          <w:szCs w:val="18"/>
          <w:color w:val="auto"/>
        </w:rPr>
        <w:t>229,725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 w:leader="none" w:pos="144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4,895,275</w:t>
        <w:tab/>
        <w:t>$</w:t>
      </w:r>
      <w:r>
        <w:rPr>
          <w:sz w:val="20"/>
          <w:szCs w:val="20"/>
          <w:color w:val="auto"/>
        </w:rPr>
        <w:tab/>
      </w:r>
      <w:r>
        <w:rPr>
          <w:rFonts w:ascii="Arial" w:cs="Arial" w:eastAsia="Arial" w:hAnsi="Arial"/>
          <w:sz w:val="16"/>
          <w:szCs w:val="16"/>
          <w:color w:val="auto"/>
        </w:rPr>
        <w:t>5,367,758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long-term debt net of debt issuance costs. Long-term debt, net of unamortized debt issuance costs and current portion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CCEEFF"/>
            </w:tcBorders>
          </w:tcPr>
          <w:p>
            <w:pPr>
              <w:spacing w:after="0"/>
              <w:rPr>
                <w:sz w:val="20"/>
                <w:szCs w:val="20"/>
                <w:color w:val="auto"/>
              </w:rPr>
            </w:pPr>
          </w:p>
        </w:tc>
      </w:tr>
      <w:tr>
        <w:trPr>
          <w:trHeight w:val="182"/>
        </w:trPr>
        <w:tc>
          <w:tcPr>
            <w:tcW w:w="8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Variable Rate Revolving Credit Facility Term Loan, interest at LIBOR plus applicable margin, due February 26,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7,218,750</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282,512</w:t>
            </w: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Current portion of term loan payable, net of debt issuance costs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4,895,275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23"/>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debt, net of unamortized debt issuance costs and current portion</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 2020, the Company entered into a Small Business Administration ("SBA") loan with MUFG Union Bank, N.A. in the amount of $2,992,758, with interest bearing at 1%. The maturity date of the loan is May 2, 2022.</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0" w:name="page121"/>
    <w:bookmarkEnd w:id="120"/>
    <w:p>
      <w:pPr>
        <w:jc w:val="both"/>
        <w:spacing w:after="0" w:line="277" w:lineRule="auto"/>
        <w:rPr>
          <w:sz w:val="20"/>
          <w:szCs w:val="20"/>
          <w:color w:val="auto"/>
        </w:rPr>
      </w:pPr>
      <w:r>
        <w:rPr>
          <w:rFonts w:ascii="Arial" w:cs="Arial" w:eastAsia="Arial" w:hAnsi="Arial"/>
          <w:sz w:val="18"/>
          <w:szCs w:val="18"/>
          <w:color w:val="auto"/>
        </w:rPr>
        <w:t>On May 13, 2020, the Company entered into a Paycheck Protection Program (“PPP”) loan with Celtic Bank Corporation in the amount of $2,000,000, with interest bearing at 1%. The maturity date of the loan is May 13,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PPP loan as a result of the acquisition of TOI FL on February 12, 2021 with Valley National Bank in the amount of $149,398, with interest bearing at 1%. The maturity date of the loan is May 4, 2022.</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application for the PPP and SBA funds required the Company to, in good faith, certify that the current economic uncertainty made the loan request necessary to support the ongoing operations of the Company. This certification further required the Company to take into account its current business activity and its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its future adherence to the forgiveness criteria. Management has performed an assessment and concluded they met the eligibility requirements to participate in the PPP and SBA programs and it is probable they will qualify for forgiveness, as determined by the program administrators within the parameters of the program. The loan proceeds were used to pay for qualifying salaries and were recognized to other revenues in 2020 as qualified expenses were paid. The Company applied for loan forgiveness in December 2020 for the PPP loan and in March 2021 for the SBA loan. Through the TOI FL acquisition, the Company recorded a PPP loan (and corresponding escrow receivable) for which the application for forgiveness was being processed. During the nine months ended September 30, 2021, the Company received notice of forgiveness for each of the PPP and SBA loans. Upon receiving forgiveness, the Company recognized the loan principal balance and accrued interest as a gain on debt extinguishment, with a corresponding write off of the escrow receivable, in the condensed consolidated statements of operation during the nine months ended September 30, 2021.</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26, 2020 the Company entered into a credit agreement with MUFG Union Bank ("Credit Agreement"), which allows the Company to borrow up to an aggregate principal amount of $10,000,000 in the form of term loans, revolving credit commitments ("Revolver"), and a letter of credit ("LOC") facility. The term loans and the Revolver shall bear interest at base rate plus the applicable margin or LIBOR rate plus the applicable margin. The Company can prepay the obligations at their option or upon the occurrence of certain events. The outstanding principal on the term loans will be repaid in quarterly installments equal to (i) $93,750 on the last business day of each quarter ending December 31, 2023, commencing on June 30, 2020 and (ii) $187,500 on the last business day of each quarter thereafter. The maturity date of the Credit Agreement is February 26, 2025.</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September 30, 2021, the Company has borrowed $5,125,000 in the form of a term loan. The Company paid down $2,500,000 drawn upon the Revolver in the second quarter, and no additional amounts were drawn during the current quarter. As of March 31, 2021 and December 31, 2020, the Company violated certain covenants in the Credit Agreement. On June 18, 2021, the Company entered into an amendment to the Credit Agreement, which reduced the aggregate principal amount from which the Company can borrow to $9,000,000 and concurrently provided a waiver for the covenant violations. As part of the amendment, the Company paid $2,000,000 of the outstanding principal balance on the term loan and no additional principal payments are required until the quarter ending March 31, 2022. The Company determined that the amendment to the Credit Agreement meet the definition of a debt modification under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Based on the results of the current quarter, the Company will be in violation of the senior leverage ratio covenant within the Credit Agreement. The Company will not seek a waiver of the violation but will pay the remaining principal and interest associated with the Credit Agreement in the upcoming quarter. Therefore, the Credit Agreement term loan, in its entirety, has been reclassified as current debt.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spacing w:after="0" w:line="259" w:lineRule="auto"/>
        <w:rPr>
          <w:sz w:val="20"/>
          <w:szCs w:val="20"/>
          <w:color w:val="auto"/>
        </w:rPr>
      </w:pPr>
      <w:r>
        <w:rPr>
          <w:rFonts w:ascii="Arial" w:cs="Arial" w:eastAsia="Arial" w:hAnsi="Arial"/>
          <w:sz w:val="18"/>
          <w:szCs w:val="18"/>
          <w:color w:val="auto"/>
        </w:rPr>
        <w:t>Net debt issuance costs are presented as a direct reduction in the condensed consolidated balance sheets and amount to $229,725 from current debt and $282,512 from long-term debt as of September 30, 2021 and December 31, 2020, respectively. The amortization of the debt issuance costs was charged to interest expense for all periods presented. The amount of debt issuance costs included in interest expense for the nine months ended September 30, 2021 and September 30, 2020 was approximately $52,787 and $41,950,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interest of $193,096 and $168,530 on the Credit Agreement term loan for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recorded income tax expense of $798,504 for the three months ended September 30, 2021, as compared to income tax benefit of $23,190 for the three months ended September 30, 2020. The increase of $821,694 in income tax expense is primarily related to the corresponding increase in our profitable entity's, TOI Parent's, pre-tax book income combined with an increase in our annual effective tax rate. Our effective tax rate decreased to (36.6)% for the three months ended September 30, 2021, from 3.3% for the three months ended September 30, 2020, primarily due to increase in the valuation allowance, partially offset by the tax effect of gain on PPP loan forgiveness, which is not taxable for federal income tax purposes.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recorded income tax expense of $1,796,123 for the nine months ended September 30, 2021, as compared to income tax benefit of $298,102 for the nine months ended September 30, 2020. The increase of $2,094,225 in income tax expense is primarily related to the corresponding increase in our profitable entity's, TOI Parent's, pre-tax book income combined with an increase in our effective tax rate. Our effective tax rate increased to 175.2% for the nine months ended September 30, 2021, from 3.3% for the nine months ended September 30, 2020, primarily due to increase in the valuation allowance, partially offset by the tax effect of gain on PPP loan forgiveness, which is not taxable for federal income tax purposes.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for the three and nine months ended September 30, 2021, was different than the U.S. federal statutory tax rate of 21.0% primarily due to increase in the valuation allowance, partially offset by the tax effect of gain on PPP loan forgiveness, which is not taxable for federal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and Preferred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Series A Preferred Shares under the Company's original Certificate of Incorporation dated September 10, 2018 and the Company's Shareholders' Agreement dated September 19, 2018. The Certificate of Incorporation was amended and restated on September 14, 2018 ("Amendment I") and again on November 6, 2020 ("Amendment II").</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Per the original Certificate of Incorporation, the Company had authority to issue 30,000 shares, consisting of 20,000 common shares and 10,000 Series A Preferred Shares. The Company issued 10,000 shares of Series A Preferred Shares on September 10, 2018 at $0.001 par value per share.</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spacing w:after="0" w:line="254" w:lineRule="auto"/>
        <w:rPr>
          <w:sz w:val="20"/>
          <w:szCs w:val="20"/>
          <w:color w:val="auto"/>
        </w:rPr>
      </w:pPr>
      <w:r>
        <w:rPr>
          <w:rFonts w:ascii="Arial" w:cs="Arial" w:eastAsia="Arial" w:hAnsi="Arial"/>
          <w:sz w:val="18"/>
          <w:szCs w:val="18"/>
          <w:color w:val="auto"/>
        </w:rPr>
        <w:t>As a result of Amendment I to the Certificate of Incorporation, Series A Preferred shareholders were entitled to a return of capital on their shares prior to any declaration or payment of dividends to common shareholders. The original preferred return was equal to the number of shares held by the preferred shareholder multiplied by the price paid for such shares. In the event of liquidation, dissolution, or winding up of the operations of the Company, Series A Preferred shareholders had preferential liquidation rights compared to the common shareholders. As such, the preferred shareholders were entitled to full payment of the original preferred return before the remaining assets of the Company were to be distributed to common and preferred shareholders based on their pro-rata share of total outstanding securities. Holders of Series A Preferred Shares were granted one vote, per share, for all matters voted on by the common shareholders of the Company.</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Given the short duration and immaterial operations of the Company between the execution of Amendment I as compared to the Original Certificate of Incorporation, there was no material accounting impact to the Company's financial statements resulting from the execution of Amendment I.</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Amendment II, the Company now has the authority to issue 420,000 shares consisting of 400,000 common shares and 20,000 Series A Preferred Shares. Additionally, each outstanding common share was split into 10 common shares. Amendment II resulted in an extinguishment of old Series A Preferred Shares under the original Certificate of Incorporation and a deemed authorization and issuance of new Series A Preferred Shares. As such, the Company recognized Series A Preferred Shares at fair value at the amendment date, with the difference between the fair value and carrying value being recognized in retained earnings. The fair value of the Series A Preferred Shares was derived using a combination of a an option pricing model ("OPM") and common stock equivalent method ("CSE") which are considered Level 2 and Level 3 inputs, respectively, in the fair value hierarchy.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The assumptions used in the OPM and CSE models are provided in the following tables: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5"/>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Option-pricing method</w:t>
            </w: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Valuation date</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11/6/2020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Liquidity event date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12/31/2024</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 years</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Total equity value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82,000,000</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Annual dividend rate for common stock</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Annualized volatility</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(continuously compounding)</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445"/>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Common-stock equivalent method</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Valuation date</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11/6/2020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Liquidity event date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12/31/2024</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 years</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Total equity value</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82,000,000</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Value per common stock equivalent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562.06</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under Amendment II, cumulative dividends on Series A Preferred Shares will accrue, whether or not declared by the Board at a rate of 6% per year. The preferred shareholders are entitled to payment of all accrued but unpaid dividends prior to declaration or payment of dividends to common shareholders. As of September 30, 2021 and December 31, 2020, dividends in arrears were $9,547,569 and $6,883,835, respectively. In the event of liquidation, Series A Preferred shareholders are entitled to receive payment of assets before distribution to common shareholders. If the full preferential amount is unavailable, the Series A Preferred shareholders will share ratably in the distribution.</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18"/>
          <w:szCs w:val="18"/>
          <w:color w:val="auto"/>
        </w:rPr>
        <w:t>Additionally, holders of Series A Preferred Shares now have 10 votes, per share, as of November 6, 2020, for all matters voted upon by the common shareholders of the Company and have the option to convert outstanding Series A Preferred Shares into common shares, at any point in time, by a factor of 1-to-10.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Series A Preferred shareholders control the vote of the Board through direct representation and can initiate a sale of the Company that may result in the Series A Preferred Shares being redeemed for cash. This potential event is deemed to be outside the control of the Company and therefore, the Series A Preferred Shares are accounted for as temporary equity.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2021, TOI Parent executed an equity capital raise in separate transactions with 3 accredited investors. A total of 1,451 of the Company's Series A Preferred Shares were purchased in exchange for $20,000,000 and are subject to the terms of Amendment II of the Certificate of Incorporation. There were 11,451 Series A Preferred Shares issued and outstanding at September 30, 2021 and 10,000 Series A Preferred Shares issued and outstanding at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Stock Option Plan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 2019, the Company issued and adopted the 2019 Non-Qualified Stock Option Plan ("the Plan") to incentivize directors, consultants, advisors, and other key employees of the Company and its subsidiaries to continue their association by providing opportunities to participate in the ownership and further growth of the Company. The Plan provides for the grant of options ("the Stock Options") to acquire common shares of the Company. The Company issued immaterial amounts of stock options to non-employees for the nine months ended September 30, 2021 and the year ended December 31, 2020.</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Stock Options are exercised from the pool of shares designated by the appropriate Committee of the Board of Directors. The grant-date fair value of each option award is estimated on the date of grant using the Black-Scholes-Merton option-pricing model. The grant date fair value of the service vesting and the performance vesting options is recognized as an expense over the requisite service period and upon the achievement of the performance condition deemed probable of being achieved, respectively. The exercise price of each Stock Option shall be determined by the Committee and may not be less than the fair market value of the common shares on the date of grant. Stock Options have 10-year terms, after which they expire and are no longer exercisable.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number of common shares for which Stock Options may be granted under the Plan shall not exceed 13,640. The Plan was amended on November 6, 2020, pursuant to which the total number of common shares for which Stock Options may be granted under the Plan shall not exceed 15,640. At September 30, 2021, there were 399,900 common shares of the Company authorized and unissued.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The weighted average assumptions used in the Black-Scholes-Merton option-pricing model for the 2021 Stock Options are provided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9 Months Ended</w:t>
            </w:r>
          </w:p>
        </w:tc>
      </w:tr>
      <w:tr>
        <w:trPr>
          <w:trHeight w:val="234"/>
        </w:trPr>
        <w:tc>
          <w:tcPr>
            <w:tcW w:w="5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09/30/2021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38.6% and 40.2%</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0.76% to 1.12%</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w:t>
            </w:r>
          </w:p>
        </w:tc>
        <w:tc>
          <w:tcPr>
            <w:tcW w:w="10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5520" w:type="dxa"/>
            <w:vAlign w:val="bottom"/>
            <w:gridSpan w:val="2"/>
          </w:tcPr>
          <w:p>
            <w:pPr>
              <w:ind w:left="2140"/>
              <w:spacing w:after="0"/>
              <w:rPr>
                <w:sz w:val="20"/>
                <w:szCs w:val="20"/>
                <w:color w:val="auto"/>
              </w:rPr>
            </w:pPr>
            <w:r>
              <w:rPr>
                <w:rFonts w:ascii="Arial" w:cs="Arial" w:eastAsia="Arial" w:hAnsi="Arial"/>
                <w:sz w:val="18"/>
                <w:szCs w:val="18"/>
                <w:b w:val="1"/>
                <w:bCs w:val="1"/>
                <w:color w:val="auto"/>
              </w:rPr>
              <w:t>Stock options</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term</w:t>
            </w:r>
          </w:p>
        </w:tc>
        <w:tc>
          <w:tcPr>
            <w:tcW w:w="100" w:type="dxa"/>
            <w:vAlign w:val="bottom"/>
          </w:tcPr>
          <w:p>
            <w:pPr>
              <w:spacing w:after="0"/>
              <w:rPr>
                <w:sz w:val="20"/>
                <w:szCs w:val="20"/>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intrinsic value</w:t>
            </w: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630.00</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504.38</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15,668</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514.50</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gridSpan w:val="2"/>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2"/>
                <w:szCs w:val="22"/>
                <w:color w:val="auto"/>
              </w:rPr>
            </w:pPr>
          </w:p>
        </w:tc>
      </w:tr>
      <w:tr>
        <w:trPr>
          <w:trHeight w:val="196"/>
        </w:trPr>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Vested options exercisable at September 30, 2021</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497.03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6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the Company and certain participants in the Plan entered into agreements to amend the terms of the Stock Options previously issued to the participant during Q1 and Q2 2021. The amendment primarily related to updating the exercise price, vesting conditions, and the number of Stock Options. The modification to the Stock Options resulted in immaterial incremental share-based compensation expense recorded in the Company's statement of operations. Total share-based compensation expense for the nine months ended September 30, 2021 and September 30, 2020 was $152,617 and $112,669, respectively, and for the three months ended September 30, 2021 and September 30, 2020, share-based compensation expense was $59,678 and $36,343, respectively.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2021 and September 30, 2020, there was $604,655 and $384,434, respectively, of total unrecognized compensation cost related to unvested service Stock Options granted under the Plan that are expected to vest. That cost is expected to be recognized over a weighted average period of 2.68 and 3.07 years for the 2021 and 2020 unrecognized compensation costs, respectively. At September 30, 2021 and September 30, 2020, there was $1,294,168 and $807,777, respectively, of unrecognized stock compensation related to the unvested performance Stock Options granted under the Plan that are expected to vest. The total fair value of common shares vested for the nine months ended September 30, 2021 and September 30, 2020 was $321,591 and $220,518, respectively, and for the three months ended September 30, 2021 and September 30, 2020, the fair value of common shares vested was $84,813 and $38,759,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("RSAs")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Agajanian Holdings ("Holdings"), a holder of Series A Preferred Shares of the Company, enters into arrangements with physicians employed by TOI CA to issue RSAs which represent Series A Preferred Shares of the Company. The RSAs only have performance vesting requirements linked to the sale of the Company so long as the optionee remains continuously and actively employed by the Company's subsidiaries through the vesting date.</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spacing w:after="0" w:line="263" w:lineRule="auto"/>
        <w:rPr>
          <w:sz w:val="20"/>
          <w:szCs w:val="20"/>
          <w:color w:val="auto"/>
        </w:rPr>
      </w:pPr>
      <w:r>
        <w:rPr>
          <w:rFonts w:ascii="Arial" w:cs="Arial" w:eastAsia="Arial" w:hAnsi="Arial"/>
          <w:sz w:val="18"/>
          <w:szCs w:val="18"/>
          <w:color w:val="auto"/>
        </w:rPr>
        <w:t>For the nine months ended September 30, 2021 and the year ended December 31, 2020, Holdings issued 0 and 188 RSAs, respectively. The optionee is not entitled to dividends or distributions from the Company, nor are they entitled to vote. Additionally, the RSA may not be sold, transferred, pledged, or assigned at any time.</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RSAs were issued for the nine months ended September 30, 2021 and the year ended December 31, 2020.</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for the RSAs for the nine months ended September 30, 2021 is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Number of</w:t>
      </w:r>
    </w:p>
    <w:p>
      <w:pPr>
        <w:spacing w:after="0" w:line="50"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14605</wp:posOffset>
            </wp:positionV>
            <wp:extent cx="7797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14605</wp:posOffset>
            </wp:positionV>
            <wp:extent cx="779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31750</wp:posOffset>
            </wp:positionV>
            <wp:extent cx="7797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720"/>
            <w:col w:w="1140"/>
          </w:cols>
          <w:pgMar w:left="320" w:top="908" w:right="339" w:bottom="1440" w:gutter="0" w:footer="0" w:header="0"/>
          <w:type w:val="continuous"/>
        </w:sectPr>
      </w:pPr>
    </w:p>
    <w:p>
      <w:pPr>
        <w:spacing w:after="0" w:line="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September 30, 2021 and September 30, 2020, no compensation costs were recognized related to the RSAs. At September 30, 2021 and September 30, 2020, there was no unrecognized compensation expense related to the RSAs that are expected to vest.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contingencies based upon available evidence. In addition, allowances for losses are provided each year for disputed items which have continuing significance. The Company believes that allowances for losses have been provided to the extent necessary, and that its assessment of contingencies is reasonable. Due to the inherent uncertainties and subjectivity involved in accounting for contingencies, there is at least a reasonable possibility that recorded estimates will change by a material amount in the near term. To the extent that the resolution of contingencies results in amounts which vary from management's estimates, future operating results will be charged or credited. The principal commitments and contingencies are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its offices, clinics and certain equipment under non-cancellable operating leases, and certain equipment under capital lease agreements, that expire at various dates through 2028. The Company has 49 rental agreements for property. Additionally, the Company has 4 rental agreements for medical equipment classified as capital leases.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6" w:name="page127"/>
    <w:bookmarkEnd w:id="126"/>
    <w:p>
      <w:pPr>
        <w:jc w:val="both"/>
        <w:ind w:right="20"/>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lease terms in excess of one year) and future minimum capital lease payments as of September 30, 2021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9"/>
              </w:rPr>
              <w:t>leases</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8,572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874,490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3,430,762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3,151,293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2,673,093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2,141,122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1,674,718</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4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CCEEFF"/>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112,658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13,945,478</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Less: amount representing interest (6% interest rate)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(8,286)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Present value of net minimum capital lease payments</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installments of obligations under capital leases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(32,344)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Obligations under capital leases, excluding current installments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is subject to certain outside claims and litigation arising in the ordinary course of business. In the opinion of management, the outcome of such matters will not have a material effect on the Company’s condensed consolidated financial statements. Loss contingencies entail uncertainty and a possibility of loss to an entity. If the loss is probable and the amount of loss can be reasonably estimated, the loss should be accrued according to Accounting Standards Codification No. 450-20, </w:t>
      </w:r>
      <w:r>
        <w:rPr>
          <w:rFonts w:ascii="Arial" w:cs="Arial" w:eastAsia="Arial" w:hAnsi="Arial"/>
          <w:sz w:val="17"/>
          <w:szCs w:val="17"/>
          <w:i w:val="1"/>
          <w:iCs w:val="1"/>
          <w:color w:val="auto"/>
        </w:rPr>
        <w:t>Disclosure of Certain Loss Contingencies</w:t>
      </w:r>
      <w:r>
        <w:rPr>
          <w:rFonts w:ascii="Arial" w:cs="Arial" w:eastAsia="Arial" w:hAnsi="Arial"/>
          <w:sz w:val="17"/>
          <w:szCs w:val="17"/>
          <w:color w:val="auto"/>
        </w:rPr>
        <w:t>. During the nine months ended September 30, 2021, the Company accrued a loss contingency for a legal matter related to an employee lawsuit, which was settled for approximately $350,000.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Articles of Incorporation and bylaws require it, among other things, to indemnify the director or officer against specified expenses and liabilities, such as attorneys’ fees, judgments, fines, and settlements, paid by the individual in connection with any action, suit, or proceeding arising out of the individual’s status or service as its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facilities. These indemnities do not provide for any limitation of the maximum potential future payments it could be obligated to make. Historically, the Company has not incurred any payments for these obligations and, therefore, no liabilities have been recorded for these indemnities in the accompanying condensed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Health Insurance Portability and Accountability Act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Health Insurance Portability and Accountability Act ("HIPAA") assures health insurance portability, reduces healthcare fraud and abuse, guarantees security and privacy of health information, and enforces standards for health information. Organizations are required to be in compliance with HIPAA provisions. The Health Information Technology for Economic and Clinical Health Act ("HITECH") imposes notification requirements in the event of certain security breaches relating to protected health information. Organizations are subject to significant fines and penalties if found not to be compliant with the provisions outlined in the regulations. The Company believes it is in compliance with these laws.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Laws and regulations governing the Medicare program and healthcare generally, are complex and subject to interpretation. The Company believes that it is in compliance with all applicable laws and regulations and is not aware of any pending or threatened investigations involving allegations of potential wrongdoing. While no regulatory inquiries have been made, compliance with such laws and regulations can be subject to future government review and interpretation as well as significant regulatory action including fines, penalties, and exclusion from the Medicare and Medi-Cal programs.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 Company’s payor and provider contracts are complex in nature and may be subject to differing interpretations regarding amounts due for the provision of medical services. Such differing interpretations may not come to light until a substantial period of time has passed following contract implementation. Liabilities for claims disputes are recorded when the loss is probable and can be estimated. Any adjustments to reserves are reflected in current operations. The Company does not have any reserves for regulatory matters as of September 30, 2021 and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Insurance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its insurance coverage is appropriate based upon the Company’s claims experience and the nature and risks of the Company’s business. In addition to the known incidents that have resulted in the assertion of claims, the Company cannot be certain that its insurance coverage will be adequate to cover liabilities, arising out of claims asserted against the Company or the Company’s affiliated professional organizations, in the future where the outcomes of such claims are unfavorable.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the ultimate resolution of all pending claims, including liabilities in excess of the Company’s insurance coverage, will not have a material adverse effect on the Company’s financial position, results of operations or cash flows; however, there can be no assurance that future claims will not have such a material adverse effect on the Company’s business. Contracted physicians are required to obtain their own insurance coverage.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Combination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12, 2021 (the "Acquisition Date"), the Company entered into an asset purchase agreement and master services agreement (PCC MSA) with Anil N Raiker, M.D., P.L.C., d/b/a Pinellas Cancer Center ("PCC") and Anil Raiker, M.D., an individual. Pursuant to the asset purchase agreement, the Company purchased from PCC certain non-clinical assets, properties, and rights. Pursuant to the PCC MSA, TOI Management established an ongoing management services agreement which grants TOI Management the right to control the non-clinical and management operations of PCC. Anil Raiker, M.D. continued to own all of the issued and outstanding equity interests of PCC.</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PCC MSA, and as further described in Note 17, TOI Management became PCC's primary beneficiary and thus consolidated PCC and its subsidiaries. The consolidation of PCC (the "Acquisition") at the Acquisition Date constituted a business combination in accordance with ASC 805. See Note 2 for a summary of the Company's policies related to business combinations.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spacing w:after="0" w:line="279" w:lineRule="auto"/>
        <w:rPr>
          <w:sz w:val="20"/>
          <w:szCs w:val="20"/>
          <w:color w:val="auto"/>
        </w:rPr>
      </w:pPr>
      <w:r>
        <w:rPr>
          <w:rFonts w:ascii="Arial" w:cs="Arial" w:eastAsia="Arial" w:hAnsi="Arial"/>
          <w:sz w:val="17"/>
          <w:szCs w:val="17"/>
          <w:color w:val="auto"/>
        </w:rPr>
        <w:t>The estimated fair value of the net assets acquired at the Acquisition Date amounted to $256,514. The total consideration for the Acquisition was $1,710,000, comprised of a cash payment of $892,500 and deferred consideration of $817,500. The deferred cash consideration is to be paid in two equal installments on the first and second anniversary of the transaction closing date (February 12, 2022 and 2023, respectively). Considering the Company's incremental borrowing rate, the present value of the deferred cash consideration is not materially different than its stated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consideration for the Acquisition has been allocated under the acquisition method of accounting to the estimated fair market value of the net assets acquired including a residual amount of tax deductible goodwill of approximately $1,453,486.</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was made primarily to expand the Company’s market share to the Florida market. The goodwill of $1,453,486 arising from the purchase is derived largely from the expected growth of the Company, as well as synergies and economies of scale expected from combining operations with the Company. The establishment of the allocation to goodwill requires the extensive use of accounting estimates and management judgement. The fair values assigned to the assets acquired are based on estimates and assumptions from data that is readily available.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4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Cash</w:t>
            </w:r>
          </w:p>
        </w:tc>
        <w:tc>
          <w:tcPr>
            <w:tcW w:w="50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892,500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consideration arrangement</w:t>
            </w:r>
          </w:p>
        </w:tc>
        <w:tc>
          <w:tcPr>
            <w:tcW w:w="4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817,500</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b w:val="1"/>
                <w:bCs w:val="1"/>
                <w:color w:val="auto"/>
              </w:rPr>
              <w:t>Fair value of total consideration transferred</w:t>
            </w:r>
          </w:p>
        </w:tc>
        <w:tc>
          <w:tcPr>
            <w:tcW w:w="45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9"/>
              </w:rPr>
              <w:t>Estimated fair value of assets acquired and liabilities assumed:</w:t>
            </w: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65,042</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248,816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62,656</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149,398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1,453,486</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assets acquired</w:t>
            </w:r>
          </w:p>
        </w:tc>
        <w:tc>
          <w:tcPr>
            <w:tcW w:w="45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Accounts payable</w:t>
            </w: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Debt, inclusive of PPP</w:t>
            </w:r>
          </w:p>
        </w:tc>
        <w:tc>
          <w:tcPr>
            <w:tcW w:w="4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149,398</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45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45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540" w:type="dxa"/>
            <w:vAlign w:val="bottom"/>
            <w:vMerge w:val="restart"/>
          </w:tcPr>
          <w:p>
            <w:pPr>
              <w:jc w:val="right"/>
              <w:ind w:right="3770"/>
              <w:spacing w:after="0"/>
              <w:rPr>
                <w:sz w:val="20"/>
                <w:szCs w:val="20"/>
                <w:color w:val="auto"/>
              </w:rPr>
            </w:pPr>
            <w:r>
              <w:rPr>
                <w:rFonts w:ascii="Arial" w:cs="Arial" w:eastAsia="Arial" w:hAnsi="Arial"/>
                <w:sz w:val="18"/>
                <w:szCs w:val="18"/>
                <w:color w:val="auto"/>
              </w:rPr>
              <w:t>28</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4" w:right="339" w:bottom="1440" w:gutter="0" w:footer="0" w:header="0"/>
        </w:sectPr>
      </w:pPr>
    </w:p>
    <w:bookmarkStart w:id="129" w:name="page130"/>
    <w:bookmarkEnd w:id="129"/>
    <w:p>
      <w:pPr>
        <w:jc w:val="both"/>
        <w:ind w:right="20"/>
        <w:spacing w:after="0" w:line="308" w:lineRule="auto"/>
        <w:rPr>
          <w:sz w:val="20"/>
          <w:szCs w:val="20"/>
          <w:color w:val="auto"/>
        </w:rPr>
      </w:pPr>
      <w:r>
        <w:rPr>
          <w:rFonts w:ascii="Arial" w:cs="Arial" w:eastAsia="Arial" w:hAnsi="Arial"/>
          <w:sz w:val="17"/>
          <w:szCs w:val="17"/>
          <w:color w:val="auto"/>
        </w:rPr>
        <w:t>Subsequent to the Acquisition, the Company filed an amendment to the articles of incorporation of PCC to legally change the name to The Oncology Institute FL, LLC (TOI FL). The change was solely nominal, and the legal form, tax attributes, and books and records of PCC all remained.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revenues, earnings, and pro forma effects of the Acquisition are not, and would not have been, material to the results of operations, individually and in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Variable Interest Entities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prepares its condensed consolidated financial statements in accordance with Accounting Standards Codification Topic No. 810, </w:t>
      </w:r>
      <w:r>
        <w:rPr>
          <w:rFonts w:ascii="Arial" w:cs="Arial" w:eastAsia="Arial" w:hAnsi="Arial"/>
          <w:sz w:val="18"/>
          <w:szCs w:val="18"/>
          <w:i w:val="1"/>
          <w:iCs w:val="1"/>
          <w:color w:val="auto"/>
        </w:rPr>
        <w:t xml:space="preserve">Consolidations </w:t>
      </w:r>
      <w:r>
        <w:rPr>
          <w:rFonts w:ascii="Arial" w:cs="Arial" w:eastAsia="Arial" w:hAnsi="Arial"/>
          <w:sz w:val="18"/>
          <w:szCs w:val="18"/>
          <w:color w:val="auto"/>
        </w:rPr>
        <w:t>("ASC 810"), which provides for the consolidation of VIEs of which TOI Parent is the primary beneficiary.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MSAs established with TOI CA and TOI FL, TOI Management is entitled to receive a management fee, which represents a variable interest in and the right to receive the benefits of TOI CA and TOI FL. Through the terms of the MSAs, TOI Management receives the right to direct the most significant activities of TOI CA and TOI FL. Therefore, TOI CA and TOI FL are variable interest entities and TOI Management is the primary beneficiary that consolidates TOI CA, TOI FL, and its subsidiaries.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spacing w:after="0" w:line="342" w:lineRule="auto"/>
        <w:rPr>
          <w:sz w:val="20"/>
          <w:szCs w:val="20"/>
          <w:color w:val="auto"/>
        </w:rPr>
      </w:pPr>
      <w:r>
        <w:rPr>
          <w:rFonts w:ascii="Arial" w:cs="Arial" w:eastAsia="Arial" w:hAnsi="Arial"/>
          <w:sz w:val="16"/>
          <w:szCs w:val="16"/>
          <w:color w:val="auto"/>
        </w:rPr>
        <w:t>Accordingly, the condensed consolidated financial statements include the accounts of TOI Parent and its subsidiaries and VIEs. All inter-company profits, transactions, and balances have been eliminated upon consolidation. The following table presents the total assets and liabilities of the consolidated VIEs: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w:t>
            </w:r>
          </w:p>
        </w:tc>
        <w:tc>
          <w:tcPr>
            <w:tcW w:w="24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570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1,537,568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19,502</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22,256,608</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17,145,910</w:t>
            </w: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99,445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49,163</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5,756,578</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4,354,232</w:t>
            </w:r>
          </w:p>
        </w:tc>
        <w:tc>
          <w:tcPr>
            <w:tcW w:w="80" w:type="dxa"/>
            <w:vAlign w:val="bottom"/>
          </w:tcPr>
          <w:p>
            <w:pPr>
              <w:spacing w:after="0"/>
              <w:rPr>
                <w:sz w:val="18"/>
                <w:szCs w:val="18"/>
                <w:color w:val="auto"/>
              </w:rPr>
            </w:pPr>
          </w:p>
        </w:tc>
      </w:tr>
      <w:tr>
        <w:trPr>
          <w:trHeight w:val="22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675,233</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719,063</w:t>
            </w:r>
          </w:p>
        </w:tc>
        <w:tc>
          <w:tcPr>
            <w:tcW w:w="80" w:type="dxa"/>
            <w:vAlign w:val="bottom"/>
            <w:shd w:val="clear" w:color="auto" w:fill="CCEEFF"/>
          </w:tcPr>
          <w:p>
            <w:pPr>
              <w:spacing w:after="0"/>
              <w:rPr>
                <w:sz w:val="19"/>
                <w:szCs w:val="19"/>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30,325,432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22,287,870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479,167</w:t>
            </w: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306,640</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200,600</w:t>
            </w:r>
          </w:p>
        </w:tc>
        <w:tc>
          <w:tcPr>
            <w:tcW w:w="80" w:type="dxa"/>
            <w:vAlign w:val="bottom"/>
          </w:tcPr>
          <w:p>
            <w:pPr>
              <w:spacing w:after="0"/>
              <w:rPr>
                <w:sz w:val="18"/>
                <w:szCs w:val="18"/>
                <w:color w:val="auto"/>
              </w:rPr>
            </w:pPr>
          </w:p>
        </w:tc>
      </w:tr>
      <w:tr>
        <w:trPr>
          <w:trHeight w:val="229"/>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r>
      <w:tr>
        <w:trPr>
          <w:trHeight w:val="26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0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31,261,239</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22,638,470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17,694,967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11,953,239</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4,231,336</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5,818,538</w:t>
            </w: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220,046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220,046</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r>
      <w:tr>
        <w:trPr>
          <w:trHeight w:val="22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affiliates</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34,013,311</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19,883,097</w:t>
            </w:r>
          </w:p>
        </w:tc>
        <w:tc>
          <w:tcPr>
            <w:tcW w:w="80" w:type="dxa"/>
            <w:vAlign w:val="bottom"/>
            <w:shd w:val="clear" w:color="auto" w:fill="CCEEFF"/>
          </w:tcPr>
          <w:p>
            <w:pPr>
              <w:spacing w:after="0"/>
              <w:rPr>
                <w:sz w:val="19"/>
                <w:szCs w:val="19"/>
                <w:color w:val="auto"/>
              </w:rPr>
            </w:pPr>
          </w:p>
        </w:tc>
      </w:tr>
      <w:tr>
        <w:trPr>
          <w:trHeight w:val="209"/>
        </w:trPr>
        <w:tc>
          <w:tcPr>
            <w:tcW w:w="57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56,159,660</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39,874,920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896,082</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551,228</w:t>
            </w:r>
          </w:p>
        </w:tc>
        <w:tc>
          <w:tcPr>
            <w:tcW w:w="80" w:type="dxa"/>
            <w:vAlign w:val="bottom"/>
            <w:shd w:val="clear" w:color="auto" w:fill="CCEEFF"/>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57,055,742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40,426,148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Single physician holders retain equity ownership in TOI CA and TOI FL, which represents nominal noncontrolling interests. The noncontrolling interests do not participate in the profit or loss of TOI CA or TOI FL, however. As such, for the nine months ended September 30, 2021, net loss of $770,748 and $0 was attributable to TOI Parent and to the noncontrolling interest, respectively. For the nine months ended September 30, 2020, net loss of $9,503,489 and $0 was attributable to TOI Parent and to the noncontrolling interest,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accounts for goodwill at acquisition-date fair value and other intangible assets at acquisition-date fair value less accumulated depreciation.</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80" w:type="dxa"/>
            <w:vAlign w:val="bottom"/>
            <w:gridSpan w:val="6"/>
          </w:tcPr>
          <w:p>
            <w:pPr>
              <w:spacing w:after="0"/>
              <w:rPr>
                <w:sz w:val="20"/>
                <w:szCs w:val="20"/>
                <w:color w:val="auto"/>
              </w:rPr>
            </w:pPr>
            <w:r>
              <w:rPr>
                <w:rFonts w:ascii="Arial" w:cs="Arial" w:eastAsia="Arial" w:hAnsi="Arial"/>
                <w:sz w:val="18"/>
                <w:szCs w:val="18"/>
                <w:color w:val="auto"/>
              </w:rPr>
              <w:t>As of September 30, 2021, the Company’s intangible assets, net consist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180" w:type="dxa"/>
            <w:vAlign w:val="bottom"/>
          </w:tcPr>
          <w:p>
            <w:pPr>
              <w:spacing w:after="0"/>
              <w:rPr>
                <w:sz w:val="24"/>
                <w:szCs w:val="2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amortization</w:t>
            </w:r>
          </w:p>
        </w:tc>
        <w:tc>
          <w:tcPr>
            <w:tcW w:w="16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Gross carrying</w:t>
            </w:r>
          </w:p>
        </w:tc>
        <w:tc>
          <w:tcPr>
            <w:tcW w:w="180" w:type="dxa"/>
            <w:vAlign w:val="bottom"/>
          </w:tcPr>
          <w:p>
            <w:pPr>
              <w:spacing w:after="0"/>
              <w:rPr>
                <w:sz w:val="18"/>
                <w:szCs w:val="18"/>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7"/>
              </w:rPr>
              <w:t>Accumulated</w:t>
            </w:r>
          </w:p>
        </w:tc>
        <w:tc>
          <w:tcPr>
            <w:tcW w:w="20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Net carrying</w:t>
            </w:r>
          </w:p>
        </w:tc>
      </w:tr>
      <w:tr>
        <w:trPr>
          <w:trHeight w:val="234"/>
        </w:trPr>
        <w:tc>
          <w:tcPr>
            <w:tcW w:w="418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w:t>
            </w:r>
          </w:p>
        </w:tc>
        <w:tc>
          <w:tcPr>
            <w:tcW w:w="16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6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amount</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Amortizing intangible assets: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Payor contracts</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(5,680,572)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13,719,428</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Trade names</w:t>
            </w: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 years</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4,170,000</w:t>
            </w:r>
          </w:p>
        </w:tc>
        <w:tc>
          <w:tcPr>
            <w:tcW w:w="18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(1,248,736)</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2,921,264</w:t>
            </w:r>
          </w:p>
        </w:tc>
        <w:tc>
          <w:tcPr>
            <w:tcW w:w="8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Clinical contracts</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2,164,000</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(648,025)</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1,515,975</w:t>
            </w:r>
          </w:p>
        </w:tc>
        <w:tc>
          <w:tcPr>
            <w:tcW w:w="80" w:type="dxa"/>
            <w:vAlign w:val="bottom"/>
            <w:shd w:val="clear" w:color="auto" w:fill="CCEEFF"/>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25,734,000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(7,577,333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18,156,667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Company’s intangible assets, net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amortization</w:t>
            </w:r>
          </w:p>
        </w:tc>
        <w:tc>
          <w:tcPr>
            <w:tcW w:w="16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Gross carrying</w:t>
            </w:r>
          </w:p>
        </w:tc>
        <w:tc>
          <w:tcPr>
            <w:tcW w:w="180" w:type="dxa"/>
            <w:vAlign w:val="bottom"/>
          </w:tcPr>
          <w:p>
            <w:pPr>
              <w:spacing w:after="0"/>
              <w:rPr>
                <w:sz w:val="18"/>
                <w:szCs w:val="18"/>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7"/>
              </w:rPr>
              <w:t>Accumulated</w:t>
            </w:r>
          </w:p>
        </w:tc>
        <w:tc>
          <w:tcPr>
            <w:tcW w:w="20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Net carrying</w:t>
            </w:r>
          </w:p>
        </w:tc>
      </w:tr>
      <w:tr>
        <w:trPr>
          <w:trHeight w:val="234"/>
        </w:trPr>
        <w:tc>
          <w:tcPr>
            <w:tcW w:w="418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w:t>
            </w:r>
          </w:p>
        </w:tc>
        <w:tc>
          <w:tcPr>
            <w:tcW w:w="16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6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amount</w:t>
            </w: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Amortizing intangible assets: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Payor contracts</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(4,283,045)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14,616,955</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Trade names</w:t>
            </w: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 years</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4,170,000</w:t>
            </w:r>
          </w:p>
        </w:tc>
        <w:tc>
          <w:tcPr>
            <w:tcW w:w="18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(944,989)</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3,225,011</w:t>
            </w:r>
          </w:p>
        </w:tc>
        <w:tc>
          <w:tcPr>
            <w:tcW w:w="8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Clinical contracts</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2,164,000</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(490,397)</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1,673,603</w:t>
            </w:r>
          </w:p>
        </w:tc>
        <w:tc>
          <w:tcPr>
            <w:tcW w:w="80" w:type="dxa"/>
            <w:vAlign w:val="bottom"/>
            <w:shd w:val="clear" w:color="auto" w:fill="CCEEFF"/>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25,234,000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(5,718,431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19,515,569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2021, TOI Management, through PCC, entered into a purchase agreement to acquire certain clinical assets from Oncology Association, P.A. ("OA") from Pedro Mendez, M.D. Management determined the acquisition of OA is an asset acquisition. The Company paid $500,000, consisting of cash and deferred cash consideration, in exchange for intangible assets in the form of payor contracts. The entire $500,000 was assigned to the payor contract intangible asset class with a weighted average amortization period of 10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each of the five succeeding fiscal years as of September 30, 2021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Remainder of 2021</w:t>
            </w:r>
          </w:p>
        </w:tc>
        <w:tc>
          <w:tcPr>
            <w:tcW w:w="6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625,189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2,500,757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2023</w:t>
            </w:r>
          </w:p>
        </w:tc>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2,500,757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2,500,757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2025</w:t>
            </w:r>
          </w:p>
        </w:tc>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2,500,757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7,528,450</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18,156,667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840" w:type="dxa"/>
            <w:vAlign w:val="bottom"/>
            <w:vMerge w:val="restart"/>
          </w:tcPr>
          <w:p>
            <w:pPr>
              <w:jc w:val="right"/>
              <w:ind w:right="3770"/>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2" w:name="page133"/>
    <w:bookmarkEnd w:id="132"/>
    <w:p>
      <w:pPr>
        <w:spacing w:after="0" w:line="308" w:lineRule="auto"/>
        <w:rPr>
          <w:sz w:val="20"/>
          <w:szCs w:val="20"/>
          <w:color w:val="auto"/>
        </w:rPr>
      </w:pPr>
      <w:r>
        <w:rPr>
          <w:rFonts w:ascii="Arial" w:cs="Arial" w:eastAsia="Arial" w:hAnsi="Arial"/>
          <w:sz w:val="17"/>
          <w:szCs w:val="17"/>
          <w:color w:val="auto"/>
        </w:rPr>
        <w:t>The aggregate amortization expense during the nine months ended September 30, 2021 and September 30, 2020 was $1,858,902 and $1,874,390, respectively and during the three months ended September 30, 2021 and September 30, 2020 was $625,189 and $612,689,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evaluates goodwill at the reporting unit level, which, for the Company, is at the level of the reportable segments, patient services, dispensary, and clinical trials &amp; other. The goodwill allocated to each of the reporting units as of September 30, 2021 and December 31, 2020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w:t>
            </w:r>
          </w:p>
        </w:tc>
        <w:tc>
          <w:tcPr>
            <w:tcW w:w="24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7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Patient 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Dispensary</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4,551,002</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4,551,002</w:t>
            </w:r>
          </w:p>
        </w:tc>
        <w:tc>
          <w:tcPr>
            <w:tcW w:w="80" w:type="dxa"/>
            <w:vAlign w:val="bottom"/>
          </w:tcPr>
          <w:p>
            <w:pPr>
              <w:spacing w:after="0"/>
              <w:rPr>
                <w:sz w:val="18"/>
                <w:szCs w:val="18"/>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&amp; other</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631,669</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631,669</w:t>
            </w:r>
          </w:p>
        </w:tc>
        <w:tc>
          <w:tcPr>
            <w:tcW w:w="80" w:type="dxa"/>
            <w:vAlign w:val="bottom"/>
            <w:shd w:val="clear" w:color="auto" w:fill="CCEEFF"/>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goodwill</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15,680,160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14,226,674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for the nine months ended September 30, 2021 and the year ended December 31, 2020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September</w:t>
            </w:r>
          </w:p>
        </w:tc>
        <w:tc>
          <w:tcPr>
            <w:tcW w:w="24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576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goodwill</w:t>
            </w:r>
          </w:p>
        </w:tc>
        <w:tc>
          <w:tcPr>
            <w:tcW w:w="22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14,226,674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14,076,674</w:t>
            </w:r>
          </w:p>
        </w:tc>
        <w:tc>
          <w:tcPr>
            <w:tcW w:w="80" w:type="dxa"/>
            <w:vAlign w:val="bottom"/>
          </w:tcPr>
          <w:p>
            <w:pPr>
              <w:spacing w:after="0"/>
              <w:rPr>
                <w:sz w:val="18"/>
                <w:szCs w:val="18"/>
                <w:color w:val="auto"/>
              </w:rPr>
            </w:pP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period</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1,453,486</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Goodwill, net as of September 30 and December 31</w:t>
            </w:r>
          </w:p>
        </w:tc>
        <w:tc>
          <w:tcPr>
            <w:tcW w:w="20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15,680,160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14,226,674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Net Loss Per Share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numerator (net loss) and the denominator (weighted average number of shares) used in the basic and diluted net loss per share calculations: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TOI Parent, Inc.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(9,503,489)</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114,510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114,510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net loss per share attributable to TOI Parent, Inc.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54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54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(950.35)</w:t>
            </w:r>
          </w:p>
        </w:tc>
      </w:tr>
    </w:tbl>
    <w:p>
      <w:pPr>
        <w:jc w:val="both"/>
        <w:ind w:firstLine="8"/>
        <w:spacing w:after="0" w:line="277" w:lineRule="auto"/>
        <w:tabs>
          <w:tab w:leader="none" w:pos="2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computation of weighted average shares outstanding applies the Series A Preferred Shares on an as-converted basis following the execution of Amendment II in November 2020, which added a one-to-ten conversion feature. As such, the Series A Preferred Shares are applied to the computation of weighted average shares outstanding on an as-converted basis for the nine months ended September 30, 2021.</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All stock options were "out-of-the-money" up to and through the year ended December 31, 2020.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potentially dilutive outstanding securities were excluded from the computation of diluted net loss per share because their effect would have been anti-dilutive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84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87"/>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(1)</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23,138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10,832</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23,138</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(1) The Stock Options are exercisable, each into one common share, for the period outstanding. Refer to Note 14 for further details.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its business and reports its results through three operating and reportable segments: patient services, dispensary, and clinical trials &amp; other in accordance with ASC 280.</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Summarized financial information for the Company’s segments is shown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gridSpan w:val="5"/>
          </w:tcPr>
          <w:p>
            <w:pPr>
              <w:jc w:val="right"/>
              <w:ind w:right="1001"/>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310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8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32,967,401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29,663,884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92,375,768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86,985,513</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17,918,035</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16,162,528</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53,317,877</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46,347,096</w:t>
            </w:r>
          </w:p>
        </w:tc>
      </w:tr>
      <w:tr>
        <w:trPr>
          <w:trHeight w:val="229"/>
        </w:trPr>
        <w:tc>
          <w:tcPr>
            <w:tcW w:w="368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1,389,522</w:t>
            </w:r>
          </w:p>
        </w:tc>
        <w:tc>
          <w:tcPr>
            <w:tcW w:w="5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1,423,032</w:t>
            </w:r>
          </w:p>
        </w:tc>
        <w:tc>
          <w:tcPr>
            <w:tcW w:w="36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5,004,889</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5,216,372</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revenue</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52,274,958</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47,249,444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150,698,534</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138,548,981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25,390,950</w:t>
            </w:r>
          </w:p>
        </w:tc>
        <w:tc>
          <w:tcPr>
            <w:tcW w:w="52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24,078,152</w:t>
            </w:r>
          </w:p>
        </w:tc>
        <w:tc>
          <w:tcPr>
            <w:tcW w:w="36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72,050,631</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72,830,254</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15,279,173</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13,431,738</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45,639,083</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38,896,324</w:t>
            </w:r>
          </w:p>
        </w:tc>
      </w:tr>
      <w:tr>
        <w:trPr>
          <w:trHeight w:val="229"/>
        </w:trPr>
        <w:tc>
          <w:tcPr>
            <w:tcW w:w="368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182,230</w:t>
            </w:r>
          </w:p>
        </w:tc>
        <w:tc>
          <w:tcPr>
            <w:tcW w:w="5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166,238</w:t>
            </w:r>
          </w:p>
        </w:tc>
        <w:tc>
          <w:tcPr>
            <w:tcW w:w="36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493,988</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786,992</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direct costs</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40,852,353</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37,676,128</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118,183,702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112,513,570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181,392</w:t>
            </w:r>
          </w:p>
        </w:tc>
        <w:tc>
          <w:tcPr>
            <w:tcW w:w="52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140,945</w:t>
            </w:r>
          </w:p>
        </w:tc>
        <w:tc>
          <w:tcPr>
            <w:tcW w:w="36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447,162</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403,027</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218</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653</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w:t>
            </w: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31,265</w:t>
            </w:r>
          </w:p>
        </w:tc>
        <w:tc>
          <w:tcPr>
            <w:tcW w:w="5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30,680</w:t>
            </w:r>
          </w:p>
        </w:tc>
        <w:tc>
          <w:tcPr>
            <w:tcW w:w="36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86,645</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77,156</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depreciation expense</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534,460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572,646</w:t>
            </w:r>
          </w:p>
        </w:tc>
        <w:tc>
          <w:tcPr>
            <w:tcW w:w="52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560,146</w:t>
            </w:r>
          </w:p>
        </w:tc>
        <w:tc>
          <w:tcPr>
            <w:tcW w:w="36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1,701,274</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1,713,647</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52,543</w:t>
            </w:r>
          </w:p>
        </w:tc>
        <w:tc>
          <w:tcPr>
            <w:tcW w:w="5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52,543</w:t>
            </w:r>
          </w:p>
        </w:tc>
        <w:tc>
          <w:tcPr>
            <w:tcW w:w="36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157,628</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160,743</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amortization</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625,189</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612,689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1,858,902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6,822,413</w:t>
            </w:r>
          </w:p>
        </w:tc>
        <w:tc>
          <w:tcPr>
            <w:tcW w:w="52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4,884,641</w:t>
            </w:r>
          </w:p>
        </w:tc>
        <w:tc>
          <w:tcPr>
            <w:tcW w:w="36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18,176,701</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12,038,585</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2,638,644</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2,730,641</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7,678,141</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7,450,623</w:t>
            </w: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1,123,484</w:t>
            </w:r>
          </w:p>
        </w:tc>
        <w:tc>
          <w:tcPr>
            <w:tcW w:w="5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1,173,571</w:t>
            </w:r>
          </w:p>
        </w:tc>
        <w:tc>
          <w:tcPr>
            <w:tcW w:w="36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4,266,628</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4,191,481</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operating income</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10,584,541</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8,788,853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30,121,470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23,680,689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12,729,425</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9,492,069</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35,119,854</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26,861,651</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Non-segment depreciation and amortization</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12,135</w:t>
            </w:r>
          </w:p>
        </w:tc>
        <w:tc>
          <w:tcPr>
            <w:tcW w:w="5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8,012</w:t>
            </w:r>
          </w:p>
        </w:tc>
        <w:tc>
          <w:tcPr>
            <w:tcW w:w="36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28,215</w:t>
            </w:r>
          </w:p>
        </w:tc>
        <w:tc>
          <w:tcPr>
            <w:tcW w:w="5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33,497</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consolidated operating (loss)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(5,026,599</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(3,214,459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September</w:t>
            </w: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3620" w:type="dxa"/>
            <w:vAlign w:val="bottom"/>
            <w:tcBorders>
              <w:bottom w:val="single" w:sz="8" w:color="CCEEFF"/>
            </w:tcBorders>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Patient services</w:t>
            </w:r>
          </w:p>
        </w:tc>
        <w:tc>
          <w:tcPr>
            <w:tcW w:w="4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42,530,458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36,445,920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Dispensary</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5,039,241</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4,318,946</w:t>
            </w: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Clinical trials &amp; other</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15,509,973</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5,486,965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Non-segment assets</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27,747,655</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19,436,737</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90,827,327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65,688,568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160" w:type="dxa"/>
            <w:vAlign w:val="bottom"/>
            <w:vMerge w:val="restart"/>
          </w:tcPr>
          <w:p>
            <w:pPr>
              <w:jc w:val="right"/>
              <w:ind w:right="199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21. Related Party Transactions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Related party transactions include payments to the American Institute of Research, Havencrest Capital Management, L.L.C., M33 Growth L.L.C., Mark L. Pacala, Richy Agajanian M.D., Roca Partners L.L.C. and Veeral Desai. The American Institute of Research provides consulting services to the Company. Havencrest Capital Management L.L.C. and M33 Growth L.L.C. provide management services to the Company. These entities have an equity stake in the Company and payments constitute consideration in exchange for the services provided. Mark L. Pacala and Roca Partners L.L.C. also have an equity stake in the Company and payments to these owners constitute expense reimbursement for traveling to Board meetings. Richy Agajanian M.D. is the representative shareholder of TOI CA. Payments to this individual are compensation for his services related to clinical research trials. Total related party payments for the nine months ended September 30, 2021 and 2020 were $468,092 and $532,943, respectively, and for the three months ended September 30, 2021 and 2020, Related Party payments were $65,880 and $122,587,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November 18, 2021, the date at which the condensed consolidated financial statements were available to be issued. The following events were identified subsequent to the balance sheet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 Transaction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2021, the Company entered into an Agreement and Plan of Merger (“Merger Agreement”) with DFP Healthcare Acquisitions Corp. (“DFPH”), a SPAC; Orion Merger Sub I, Inc., a wholly-owned subsidiary of DFPH (“Merger Sub I”), and Orion Merger Sub II, LLC, a wholly-owned subsidiary of DFPH (“Merger Sub II”). Pursuant to the terms of the Merger Agreement, (i) Merger Sub I will merge with and into the Company, with the Company surviving the merger (the “First Merger”) and (ii) immediately following the First Merger, the Company will merge with and into Merger Sub II, with Merger Sub II surviving the merger (collectively, the “Business Combination”). Upon completion of the Business Combination, DFPH will be named The Oncology Institute, Inc. and adopt a corresponding ticker symbol. Deferred costs related to this transaction are presented on the consolidated balance sheets.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22, 2021, DFPH issued a press release announcing that it has scheduled the Special Meeting of its stockholders (the “Special Meeting”) for November 12, 2021 at 10:00 a.m., Eastern Time, to approve the previously announced Business Combination with the Company, that it has filed its definitive proxy statement/prospectus for the Special Meeting, and that it has commenced mailing the definitive proxy statement/prospectus to its stockholders of record as of the close of business on September 23, 2021 (the “Record Date”). The Business Combination is expected to close immediately following the Special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Orr Practice Acquisition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12 , 2021, the Company entered into an Asset Purchase Agreement with Leo E. Orr, M.D., Inc., (the "Orr Practice") and Leo E. Orr, M.D., an individual. Leo E. Orr, M.D. owns all of the issued and outstanding equity interests of the Orr Practice. The terms of the agreement state that the Company will purchase from the Orr Practice certain assets, properties, and rights owned by the Orr Practice, and the intangible assets associated with the asset acquisition. The Company will pay $1,000,000, with $800,000 of the consideration being paid in cash at closing and the remainder paid equally in two cash installments on each annual anniversary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Practice Acquisition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12 , 2021, the Company entered into an Asset Purchase Agreement with Ellsworth Grant, M.D., A Medical Corporation, (the "Grant Practice") and Ellsworth Grant, M.D., an individual. Ellsworth Grant, M.D. owns all of the issued and outstanding equity interests of the Grant Practice. The terms of the agreement state that the Company will purchase from the Grant Practice certain assets, properties, and rights owned by the Grant Practice, and the intangible assets associated with the asset acquisition. The Company will pay $1,000,000, with $800,000 of the consideration being paid in cash at closing and the remainder paid equally in two cash installments on each annual anniversary thereafter.</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condensed combined balance sheet as of September 30, 2021 and the unaudited pro forma condensed combined statements of operations for the year ended December 31, 2020 and nine months ended September 30, 2021 present the combined financial information of DFP and TOI after giving effect to the Business Combination and related adjustments described in the accompanying notes. DFP and TOI are collectively referred to herein as the “Companies,” and the Companies, subsequent to the Business Combination, are referred to herein as the “Combined Company” or “New TOI.”</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unaudited pro forma condensed combined financial information has been prepared in accordance with Article 11 of Regulation S-X, as amended by the final rule, Release 33 10786 “Amendments to Financial Disclosures about Acquired and Disposed Businesses.” The following unaudited pro forma condensed combined statements of operations for the year ended December 31, 2020 and nine months ended September 30, 2021 give pro forma effect to the Business Combination as if it had occurred on January 1, 2020. The unaudited pro forma condensed combined balance sheet as of September 30, 2021 gives pro forma effect to the Business Combination as if it was completed on September 30, 2021.</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pro forma condensed combined financial information are based on and should be read in conjunction with the audited historical financial statements of each of DFP and TOI and the related notes thereto as of and for the year ended December 31, 2020, and the unaudited historical financial statements as of and for the nine months ended September 30, 2021, as well as the disclosures contained in the sections titled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 of DFP</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TOI.</w:t>
      </w:r>
      <w:r>
        <w:rPr>
          <w:rFonts w:ascii="Arial" w:cs="Arial" w:eastAsia="Arial" w:hAnsi="Arial"/>
          <w:sz w:val="18"/>
          <w:szCs w:val="18"/>
          <w:color w:val="auto"/>
        </w:rPr>
        <w: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pro forma condensed combined financial statements have been presented for illustrative purposes only and do not necessarily reflect what the Combined Company’s financial condition or results of operations would have been had the Business Combination occurred on the dates indicated. Further, the unaudited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2021, DFP and two of its direct, wholly-owned subsidiaries, First Merger Sub and Second Merger Sub entered into a Merger Agreement with TOI under which First Merger Sub will merge with and into TOI with TOI being the surviving corporation of the First Merger. Immediately following the First Merger, TOI, as the surviving corporation of the First Merger will merge with and into Second Merger Sub with the Second Merger Sub being the surviving entity and wholly-owned subsidiary of DFP. Upon Closing, DFP will be renamed “The Oncology Institute, Inc.” and is referred to herein as “New TOI.” The consideration due to TOI stockholders in the Business Combination will consist entirely of cash and shares of DFP Class A Common Stock (to become shares of New TOI Common Stock) valued at $10.00 per share. Immediately following the closing of the proposed transaction, New TOI expects to trade New TOI Common Stock and Public Warrants on the Nasdaq under the ticker symbol “TOI” and “TOIIW”, respectively, pending Nasdaq approval.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Share Consideration was 59,546,762 shares of DFP Class A Common Stock valued at $10 per share and the Closing Cash Consideration was $166.6 million. Therefore, the Closing Merger Consideration for the Business Combination is $762.1 million.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Additionally, eligible TOI equity holders have the contingent right to receive up to 12,500,000 additional shares of DFP Class A Common Stock contingent upon achieving certain market share price milestones within a period of 3 years post Business Combination (further described in Note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0"/>
                <w:szCs w:val="20"/>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Reclassification</w:t>
            </w:r>
          </w:p>
        </w:tc>
        <w:tc>
          <w:tcPr>
            <w:tcW w:w="120" w:type="dxa"/>
            <w:vAlign w:val="bottom"/>
          </w:tcPr>
          <w:p>
            <w:pPr>
              <w:spacing w:after="0"/>
              <w:rPr>
                <w:sz w:val="20"/>
                <w:szCs w:val="20"/>
                <w:color w:val="auto"/>
              </w:rPr>
            </w:pPr>
          </w:p>
        </w:tc>
        <w:tc>
          <w:tcPr>
            <w:tcW w:w="1220" w:type="dxa"/>
            <w:vAlign w:val="bottom"/>
            <w:gridSpan w:val="2"/>
            <w:vMerge w:val="restart"/>
          </w:tcPr>
          <w:p>
            <w:pPr>
              <w:jc w:val="center"/>
              <w:ind w:right="181"/>
              <w:spacing w:after="0"/>
              <w:rPr>
                <w:sz w:val="20"/>
                <w:szCs w:val="20"/>
                <w:color w:val="auto"/>
              </w:rPr>
            </w:pPr>
            <w:r>
              <w:rPr>
                <w:rFonts w:ascii="Arial" w:cs="Arial" w:eastAsia="Arial" w:hAnsi="Arial"/>
                <w:sz w:val="18"/>
                <w:szCs w:val="18"/>
                <w:b w:val="1"/>
                <w:bCs w:val="1"/>
                <w:color w:val="auto"/>
                <w:w w:val="90"/>
              </w:rPr>
              <w:t>Transaction</w:t>
            </w: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DFP Healthcare</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7"/>
              </w:rPr>
              <w:t>TOI Parent,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Acquisitions Corp.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2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8"/>
              </w:rPr>
              <w:t>Accounting</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 2)</w:t>
            </w:r>
          </w:p>
        </w:tc>
        <w:tc>
          <w:tcPr>
            <w:tcW w:w="120" w:type="dxa"/>
            <w:vAlign w:val="bottom"/>
          </w:tcPr>
          <w:p>
            <w:pPr>
              <w:spacing w:after="0"/>
              <w:rPr>
                <w:sz w:val="20"/>
                <w:szCs w:val="20"/>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9"/>
              </w:rPr>
              <w:t>Adjustments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230,013</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138,934</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268,000</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(6,300)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(20,597)</w:t>
            </w:r>
          </w:p>
        </w:tc>
        <w:tc>
          <w:tcPr>
            <w:tcW w:w="420" w:type="dxa"/>
            <w:vAlign w:val="bottom"/>
          </w:tcPr>
          <w:p>
            <w:pPr>
              <w:jc w:val="center"/>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(145,988)</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(K)</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(26,700)</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(171,213)</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Deferred transaction costs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127,197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18,157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asset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Cash and investments held in Trust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40" w:type="dxa"/>
            <w:vAlign w:val="bottom"/>
          </w:tcPr>
          <w:p>
            <w:pPr>
              <w:spacing w:after="0"/>
              <w:rPr>
                <w:sz w:val="20"/>
                <w:szCs w:val="20"/>
                <w:color w:val="auto"/>
              </w:rPr>
            </w:pPr>
            <w:r>
              <w:rPr>
                <w:rFonts w:ascii="Arial" w:cs="Arial" w:eastAsia="Arial" w:hAnsi="Arial"/>
                <w:sz w:val="18"/>
                <w:szCs w:val="18"/>
                <w:color w:val="auto"/>
              </w:rPr>
              <w:t>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230,013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(230,013)</w:t>
            </w:r>
          </w:p>
        </w:tc>
        <w:tc>
          <w:tcPr>
            <w:tcW w:w="420" w:type="dxa"/>
            <w:vAlign w:val="bottom"/>
          </w:tcPr>
          <w:p>
            <w:pPr>
              <w:jc w:val="center"/>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(961)</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19,014</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Accrued expenses and other current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11,758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(12,728)</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 related parties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Franchise tax payable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65,469</w:t>
            </w:r>
          </w:p>
        </w:tc>
        <w:tc>
          <w:tcPr>
            <w:tcW w:w="420" w:type="dxa"/>
            <w:vAlign w:val="bottom"/>
          </w:tcPr>
          <w:p>
            <w:pPr>
              <w:jc w:val="center"/>
              <w:spacing w:after="0"/>
              <w:rPr>
                <w:sz w:val="20"/>
                <w:szCs w:val="20"/>
                <w:color w:val="auto"/>
              </w:rPr>
            </w:pPr>
            <w:r>
              <w:rPr>
                <w:rFonts w:ascii="Arial" w:cs="Arial" w:eastAsia="Arial" w:hAnsi="Arial"/>
                <w:sz w:val="18"/>
                <w:szCs w:val="18"/>
                <w:color w:val="auto"/>
                <w:w w:val="95"/>
              </w:rPr>
              <w:t>(F)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66,987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(6,300)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Derivative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15,268</w:t>
            </w: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(9,258)</w:t>
            </w:r>
          </w:p>
        </w:tc>
        <w:tc>
          <w:tcPr>
            <w:tcW w:w="420" w:type="dxa"/>
            <w:vAlign w:val="bottom"/>
          </w:tcPr>
          <w:p>
            <w:pPr>
              <w:jc w:val="center"/>
              <w:spacing w:after="0"/>
              <w:rPr>
                <w:sz w:val="20"/>
                <w:szCs w:val="20"/>
                <w:color w:val="auto"/>
              </w:rPr>
            </w:pPr>
            <w:r>
              <w:rPr>
                <w:rFonts w:ascii="Arial" w:cs="Arial" w:eastAsia="Arial" w:hAnsi="Arial"/>
                <w:sz w:val="18"/>
                <w:szCs w:val="18"/>
                <w:color w:val="auto"/>
              </w:rPr>
              <w:t>(N)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(15,268)</w:t>
            </w:r>
          </w:p>
        </w:tc>
        <w:tc>
          <w:tcPr>
            <w:tcW w:w="12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35,309</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2"/>
              </w:rPr>
              <w:t>Class A common stock subject to possible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redemption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(230,000)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w w:val="93"/>
              </w:rPr>
              <w:t>6% cumulative Series A Preferred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(100,113)</w:t>
            </w:r>
          </w:p>
        </w:tc>
        <w:tc>
          <w:tcPr>
            <w:tcW w:w="420" w:type="dxa"/>
            <w:vAlign w:val="bottom"/>
          </w:tcPr>
          <w:p>
            <w:pPr>
              <w:jc w:val="center"/>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A Common Equivalent Preferred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420" w:type="dxa"/>
            <w:vAlign w:val="bottom"/>
          </w:tcPr>
          <w:p>
            <w:pPr>
              <w:jc w:val="center"/>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(J)</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(K)</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Class B 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(J)</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8"/>
                <w:szCs w:val="18"/>
                <w:color w:val="auto"/>
              </w:rPr>
              <w:t>(171,211)</w:t>
            </w:r>
          </w:p>
        </w:tc>
        <w:tc>
          <w:tcPr>
            <w:tcW w:w="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(G)</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187,614</w:t>
            </w:r>
          </w:p>
        </w:tc>
        <w:tc>
          <w:tcPr>
            <w:tcW w:w="0" w:type="dxa"/>
            <w:vAlign w:val="bottom"/>
          </w:tcPr>
          <w:p>
            <w:pPr>
              <w:spacing w:after="0"/>
              <w:rPr>
                <w:sz w:val="1"/>
                <w:szCs w:val="1"/>
                <w:color w:val="auto"/>
              </w:rPr>
            </w:pPr>
          </w:p>
        </w:tc>
      </w:tr>
    </w:tbl>
    <w:p>
      <w:pPr>
        <w:sectPr>
          <w:pgSz w:w="11900" w:h="16900" w:orient="portrait"/>
          <w:cols w:equalWidth="0" w:num="1">
            <w:col w:w="11240"/>
          </w:cols>
          <w:pgMar w:left="320" w:top="904" w:right="3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229,998</w:t>
            </w:r>
          </w:p>
        </w:tc>
        <w:tc>
          <w:tcPr>
            <w:tcW w:w="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(H)</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(24,903)</w:t>
            </w:r>
          </w:p>
        </w:tc>
        <w:tc>
          <w:tcPr>
            <w:tcW w:w="540" w:type="dxa"/>
            <w:vAlign w:val="bottom"/>
          </w:tcPr>
          <w:p>
            <w:pPr>
              <w:jc w:val="center"/>
              <w:ind w:right="50"/>
              <w:spacing w:after="0"/>
              <w:rPr>
                <w:sz w:val="20"/>
                <w:szCs w:val="20"/>
                <w:color w:val="auto"/>
              </w:rPr>
            </w:pPr>
            <w:r>
              <w:rPr>
                <w:rFonts w:ascii="Arial" w:cs="Arial" w:eastAsia="Arial" w:hAnsi="Arial"/>
                <w:sz w:val="18"/>
                <w:szCs w:val="18"/>
                <w:color w:val="auto"/>
              </w:rPr>
              <w:t>(M)</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100,113</w:t>
            </w:r>
          </w:p>
        </w:tc>
        <w:tc>
          <w:tcPr>
            <w:tcW w:w="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(I)</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267,997</w:t>
            </w:r>
          </w:p>
        </w:tc>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(B)</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(145,993)</w:t>
            </w:r>
          </w:p>
        </w:tc>
        <w:tc>
          <w:tcPr>
            <w:tcW w:w="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(K)</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(65,469)</w:t>
            </w:r>
          </w:p>
        </w:tc>
        <w:tc>
          <w:tcPr>
            <w:tcW w:w="540" w:type="dxa"/>
            <w:vAlign w:val="bottom"/>
          </w:tcPr>
          <w:p>
            <w:pPr>
              <w:jc w:val="center"/>
              <w:ind w:right="30"/>
              <w:spacing w:after="0"/>
              <w:rPr>
                <w:sz w:val="20"/>
                <w:szCs w:val="20"/>
                <w:color w:val="auto"/>
              </w:rPr>
            </w:pPr>
            <w:r>
              <w:rPr>
                <w:rFonts w:ascii="Arial" w:cs="Arial" w:eastAsia="Arial" w:hAnsi="Arial"/>
                <w:sz w:val="18"/>
                <w:szCs w:val="18"/>
                <w:color w:val="auto"/>
                <w:w w:val="95"/>
              </w:rPr>
              <w:t>(F)</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(E)</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9,258</w:t>
            </w:r>
          </w:p>
        </w:tc>
        <w:tc>
          <w:tcPr>
            <w:tcW w:w="540" w:type="dxa"/>
            <w:vAlign w:val="bottom"/>
          </w:tcPr>
          <w:p>
            <w:pPr>
              <w:jc w:val="center"/>
              <w:ind w:right="30"/>
              <w:spacing w:after="0"/>
              <w:rPr>
                <w:sz w:val="20"/>
                <w:szCs w:val="20"/>
                <w:color w:val="auto"/>
              </w:rPr>
            </w:pPr>
            <w:r>
              <w:rPr>
                <w:rFonts w:ascii="Arial" w:cs="Arial" w:eastAsia="Arial" w:hAnsi="Arial"/>
                <w:sz w:val="18"/>
                <w:szCs w:val="18"/>
                <w:color w:val="auto"/>
              </w:rPr>
              <w:t>(N)</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(24,903)</w:t>
            </w:r>
          </w:p>
        </w:tc>
        <w:tc>
          <w:tcPr>
            <w:tcW w:w="14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(53,077)</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24,903</w:t>
            </w:r>
          </w:p>
        </w:tc>
        <w:tc>
          <w:tcPr>
            <w:tcW w:w="5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(M)</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(73,167)</w:t>
            </w:r>
          </w:p>
        </w:tc>
      </w:tr>
      <w:tr>
        <w:trPr>
          <w:trHeight w:val="216"/>
        </w:trPr>
        <w:tc>
          <w:tcPr>
            <w:tcW w:w="3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(20,597)</w:t>
            </w:r>
          </w:p>
        </w:tc>
        <w:tc>
          <w:tcPr>
            <w:tcW w:w="540" w:type="dxa"/>
            <w:vAlign w:val="bottom"/>
          </w:tcPr>
          <w:p>
            <w:pPr>
              <w:jc w:val="center"/>
              <w:ind w:right="30"/>
              <w:spacing w:after="0"/>
              <w:rPr>
                <w:sz w:val="20"/>
                <w:szCs w:val="20"/>
                <w:color w:val="auto"/>
              </w:rPr>
            </w:pPr>
            <w:r>
              <w:rPr>
                <w:rFonts w:ascii="Arial" w:cs="Arial" w:eastAsia="Arial" w:hAnsi="Arial"/>
                <w:sz w:val="18"/>
                <w:szCs w:val="18"/>
                <w:color w:val="auto"/>
              </w:rPr>
              <w:t>(D)</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(E)</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895</w:t>
            </w:r>
          </w:p>
        </w:tc>
        <w:tc>
          <w:tcPr>
            <w:tcW w:w="540" w:type="dxa"/>
            <w:vAlign w:val="bottom"/>
          </w:tcPr>
          <w:p>
            <w:pPr>
              <w:jc w:val="center"/>
              <w:ind w:right="30"/>
              <w:spacing w:after="0"/>
              <w:rPr>
                <w:sz w:val="20"/>
                <w:szCs w:val="20"/>
                <w:color w:val="auto"/>
              </w:rPr>
            </w:pPr>
            <w:r>
              <w:rPr>
                <w:rFonts w:ascii="Arial" w:cs="Arial" w:eastAsia="Arial" w:hAnsi="Arial"/>
                <w:sz w:val="18"/>
                <w:szCs w:val="18"/>
                <w:color w:val="auto"/>
                <w:w w:val="99"/>
              </w:rPr>
              <w:t>(O)</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191,988</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b w:val="1"/>
                <w:bCs w:val="1"/>
                <w:color w:val="auto"/>
                <w:w w:val="94"/>
              </w:rPr>
              <w:t>Total liabilities and stockholders' equity</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230,300</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90,827</w:t>
            </w:r>
          </w:p>
        </w:tc>
        <w:tc>
          <w:tcPr>
            <w:tcW w:w="220" w:type="dxa"/>
            <w:vAlign w:val="bottom"/>
          </w:tcPr>
          <w:p>
            <w:pPr>
              <w:spacing w:after="0"/>
              <w:rPr>
                <w:sz w:val="19"/>
                <w:szCs w:val="19"/>
                <w:color w:val="auto"/>
              </w:rPr>
            </w:pPr>
          </w:p>
        </w:tc>
        <w:tc>
          <w:tcPr>
            <w:tcW w:w="122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Nine months ended</w:t>
            </w:r>
          </w:p>
        </w:tc>
      </w:tr>
      <w:tr>
        <w:trPr>
          <w:trHeight w:val="210"/>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6"/>
          </w:tcPr>
          <w:p>
            <w:pPr>
              <w:jc w:val="right"/>
              <w:ind w:right="159"/>
              <w:spacing w:after="0"/>
              <w:rPr>
                <w:sz w:val="20"/>
                <w:szCs w:val="20"/>
                <w:color w:val="auto"/>
              </w:rPr>
            </w:pPr>
            <w:r>
              <w:rPr>
                <w:rFonts w:ascii="Arial" w:cs="Arial" w:eastAsia="Arial" w:hAnsi="Arial"/>
                <w:sz w:val="16"/>
                <w:szCs w:val="16"/>
                <w:b w:val="1"/>
                <w:bCs w:val="1"/>
                <w:color w:val="auto"/>
                <w:w w:val="90"/>
              </w:rPr>
              <w:t>Nine months ended September 30, 2021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September 30, 2021</w:t>
            </w:r>
          </w:p>
        </w:tc>
      </w:tr>
      <w:tr>
        <w:trPr>
          <w:trHeight w:val="188"/>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19"/>
              <w:spacing w:after="0"/>
              <w:rPr>
                <w:sz w:val="20"/>
                <w:szCs w:val="20"/>
                <w:color w:val="auto"/>
              </w:rPr>
            </w:pPr>
            <w:r>
              <w:rPr>
                <w:rFonts w:ascii="Arial" w:cs="Arial" w:eastAsia="Arial" w:hAnsi="Arial"/>
                <w:sz w:val="16"/>
                <w:szCs w:val="16"/>
                <w:b w:val="1"/>
                <w:bCs w:val="1"/>
                <w:color w:val="auto"/>
                <w:w w:val="94"/>
              </w:rPr>
              <w:t>DFP Healthcare</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Transaction</w:t>
            </w:r>
          </w:p>
        </w:tc>
        <w:tc>
          <w:tcPr>
            <w:tcW w:w="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9"/>
              </w:rPr>
              <w:t>Acquisitions Corp.</w:t>
            </w:r>
          </w:p>
        </w:tc>
        <w:tc>
          <w:tcPr>
            <w:tcW w:w="14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w w:val="98"/>
              </w:rPr>
              <w:t>TOI Parent, Inc.</w:t>
            </w:r>
          </w:p>
        </w:tc>
        <w:tc>
          <w:tcPr>
            <w:tcW w:w="12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Accounting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Pro Forma</w:t>
            </w:r>
          </w:p>
        </w:tc>
      </w:tr>
      <w:tr>
        <w:trPr>
          <w:trHeight w:val="213"/>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5"/>
              </w:rPr>
              <w:t>(Historical)</w:t>
            </w:r>
          </w:p>
        </w:tc>
        <w:tc>
          <w:tcPr>
            <w:tcW w:w="160" w:type="dxa"/>
            <w:vAlign w:val="bottom"/>
          </w:tcPr>
          <w:p>
            <w:pPr>
              <w:spacing w:after="0"/>
              <w:rPr>
                <w:sz w:val="18"/>
                <w:szCs w:val="18"/>
                <w:color w:val="auto"/>
              </w:rPr>
            </w:pPr>
          </w:p>
        </w:tc>
        <w:tc>
          <w:tcPr>
            <w:tcW w:w="13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(Historical)</w:t>
            </w:r>
          </w:p>
        </w:tc>
        <w:tc>
          <w:tcPr>
            <w:tcW w:w="12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Combined</w:t>
            </w:r>
          </w:p>
        </w:tc>
      </w:tr>
      <w:tr>
        <w:trPr>
          <w:trHeight w:val="19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Patient services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92,376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92,376</w:t>
            </w: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Dispensary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53,318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53,318</w:t>
            </w: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Clinical trials &amp;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5,005</w:t>
            </w:r>
          </w:p>
        </w:tc>
        <w:tc>
          <w:tcPr>
            <w:tcW w:w="1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5,005</w:t>
            </w:r>
          </w:p>
        </w:tc>
      </w:tr>
      <w:tr>
        <w:trPr>
          <w:trHeight w:val="19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Direct costs - patient services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72,051</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72,051</w:t>
            </w: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Direct costs - dispensary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45,639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45,639</w:t>
            </w: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Direct costs - clinical trials &amp; other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494</w:t>
            </w: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4,142</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35,120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(AA)</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47,422</w:t>
            </w:r>
          </w:p>
        </w:tc>
      </w:tr>
      <w:tr>
        <w:trPr>
          <w:trHeight w:val="203"/>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10,707</w:t>
            </w: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(BB)</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(GG)</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2,422</w:t>
            </w: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 - related party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158</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(DD)</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Franchise tax expense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150</w:t>
            </w:r>
          </w:p>
        </w:tc>
      </w:tr>
      <w:tr>
        <w:trPr>
          <w:trHeight w:val="19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155,726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168,178</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4640" w:type="dxa"/>
            <w:vAlign w:val="bottom"/>
          </w:tcPr>
          <w:p>
            <w:pPr>
              <w:spacing w:after="0"/>
              <w:rPr>
                <w:sz w:val="20"/>
                <w:szCs w:val="20"/>
                <w:color w:val="auto"/>
              </w:rPr>
            </w:pPr>
            <w:r>
              <w:rPr>
                <w:rFonts w:ascii="Arial" w:cs="Arial" w:eastAsia="Arial" w:hAnsi="Arial"/>
                <w:sz w:val="16"/>
                <w:szCs w:val="16"/>
                <w:b w:val="1"/>
                <w:bCs w:val="1"/>
                <w:color w:val="auto"/>
              </w:rPr>
              <w:t>Loss from operations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(17,479)</w:t>
            </w:r>
          </w:p>
        </w:tc>
        <w:tc>
          <w:tcPr>
            <w:tcW w:w="100" w:type="dxa"/>
            <w:vAlign w:val="bottom"/>
          </w:tcPr>
          <w:p>
            <w:pPr>
              <w:spacing w:after="0"/>
              <w:rPr>
                <w:sz w:val="17"/>
                <w:szCs w:val="17"/>
                <w:color w:val="auto"/>
              </w:rPr>
            </w:pPr>
          </w:p>
        </w:tc>
      </w:tr>
      <w:tr>
        <w:trPr>
          <w:trHeight w:val="202"/>
        </w:trPr>
        <w:tc>
          <w:tcPr>
            <w:tcW w:w="4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b w:val="1"/>
                <w:bCs w:val="1"/>
                <w:color w:val="auto"/>
              </w:rPr>
              <w:t>Other non-operating (income) expense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w:t>
            </w: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Gain on debt extinguishment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(5,186)</w:t>
            </w: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(1,126)</w:t>
            </w: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Interest income from investments in Trust Account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58</w:t>
            </w: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(CC)</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(3,523)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(3,523)</w:t>
            </w:r>
          </w:p>
        </w:tc>
      </w:tr>
      <w:tr>
        <w:trPr>
          <w:trHeight w:val="196"/>
        </w:trPr>
        <w:tc>
          <w:tcPr>
            <w:tcW w:w="46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non-operating (income) expense</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(3,581</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(6,052</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96"/>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provision for income taxes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(7,904)</w:t>
            </w:r>
          </w:p>
        </w:tc>
        <w:tc>
          <w:tcPr>
            <w:tcW w:w="100" w:type="dxa"/>
            <w:vAlign w:val="bottom"/>
            <w:shd w:val="clear" w:color="auto" w:fill="CCEEFF"/>
          </w:tcPr>
          <w:p>
            <w:pPr>
              <w:spacing w:after="0"/>
              <w:rPr>
                <w:sz w:val="17"/>
                <w:szCs w:val="17"/>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Provision for income taxes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1,796</w:t>
            </w:r>
          </w:p>
        </w:tc>
      </w:tr>
      <w:tr>
        <w:trPr>
          <w:trHeight w:val="20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Weighted average shares outstanding of DFP Class A Common</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 basic and 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73,787,558</w:t>
            </w: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w w:val="92"/>
              </w:rPr>
              <w:t>Basic and diluted net loss per share, DFP Class A Common 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(0.11)</w:t>
            </w:r>
          </w:p>
        </w:tc>
      </w:tr>
      <w:tr>
        <w:trPr>
          <w:trHeight w:val="667"/>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0" w:name="page141"/>
    <w:bookmarkEnd w:id="140"/>
    <w:p>
      <w:pPr>
        <w:jc w:val="center"/>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number of shares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6"/>
          </w:tcPr>
          <w:p>
            <w:pPr>
              <w:jc w:val="right"/>
              <w:ind w:right="459"/>
              <w:spacing w:after="0"/>
              <w:rPr>
                <w:sz w:val="20"/>
                <w:szCs w:val="20"/>
                <w:color w:val="auto"/>
              </w:rPr>
            </w:pPr>
            <w:r>
              <w:rPr>
                <w:rFonts w:ascii="Arial" w:cs="Arial" w:eastAsia="Arial" w:hAnsi="Arial"/>
                <w:sz w:val="16"/>
                <w:szCs w:val="16"/>
                <w:b w:val="1"/>
                <w:bCs w:val="1"/>
                <w:color w:val="auto"/>
                <w:w w:val="99"/>
              </w:rPr>
              <w:t>Year ended December 31, 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December 31, 2020</w:t>
            </w:r>
          </w:p>
        </w:tc>
      </w:tr>
      <w:tr>
        <w:trPr>
          <w:trHeight w:val="188"/>
        </w:trPr>
        <w:tc>
          <w:tcPr>
            <w:tcW w:w="4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159"/>
              <w:spacing w:after="0"/>
              <w:rPr>
                <w:sz w:val="20"/>
                <w:szCs w:val="20"/>
                <w:color w:val="auto"/>
              </w:rPr>
            </w:pPr>
            <w:r>
              <w:rPr>
                <w:rFonts w:ascii="Arial" w:cs="Arial" w:eastAsia="Arial" w:hAnsi="Arial"/>
                <w:sz w:val="16"/>
                <w:szCs w:val="16"/>
                <w:b w:val="1"/>
                <w:bCs w:val="1"/>
                <w:color w:val="auto"/>
                <w:w w:val="92"/>
              </w:rPr>
              <w:t>DFP Healthcare</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Transaction</w:t>
            </w:r>
          </w:p>
        </w:tc>
        <w:tc>
          <w:tcPr>
            <w:tcW w:w="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840" w:type="dxa"/>
            <w:vAlign w:val="bottom"/>
          </w:tcPr>
          <w:p>
            <w:pPr>
              <w:spacing w:after="0"/>
              <w:rPr>
                <w:sz w:val="17"/>
                <w:szCs w:val="17"/>
                <w:color w:val="auto"/>
              </w:rPr>
            </w:pPr>
          </w:p>
        </w:tc>
        <w:tc>
          <w:tcPr>
            <w:tcW w:w="14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1"/>
              </w:rPr>
              <w:t>Acquisitions Corp.</w:t>
            </w:r>
          </w:p>
        </w:tc>
        <w:tc>
          <w:tcPr>
            <w:tcW w:w="80" w:type="dxa"/>
            <w:vAlign w:val="bottom"/>
          </w:tcPr>
          <w:p>
            <w:pPr>
              <w:spacing w:after="0"/>
              <w:rPr>
                <w:sz w:val="17"/>
                <w:szCs w:val="17"/>
                <w:color w:val="auto"/>
              </w:rPr>
            </w:pPr>
          </w:p>
        </w:tc>
        <w:tc>
          <w:tcPr>
            <w:tcW w:w="14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w w:val="97"/>
              </w:rPr>
              <w:t>TOI Parent, Inc.</w:t>
            </w:r>
          </w:p>
        </w:tc>
        <w:tc>
          <w:tcPr>
            <w:tcW w:w="120" w:type="dxa"/>
            <w:vAlign w:val="bottom"/>
          </w:tcPr>
          <w:p>
            <w:pPr>
              <w:spacing w:after="0"/>
              <w:rPr>
                <w:sz w:val="17"/>
                <w:szCs w:val="17"/>
                <w:color w:val="auto"/>
              </w:rPr>
            </w:pPr>
          </w:p>
        </w:tc>
        <w:tc>
          <w:tcPr>
            <w:tcW w:w="12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8"/>
              </w:rPr>
              <w:t>Accounting</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Pro Forma</w:t>
            </w:r>
          </w:p>
        </w:tc>
      </w:tr>
      <w:tr>
        <w:trPr>
          <w:trHeight w:val="213"/>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(Historical)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(Historical)</w:t>
            </w:r>
          </w:p>
        </w:tc>
        <w:tc>
          <w:tcPr>
            <w:tcW w:w="120" w:type="dxa"/>
            <w:vAlign w:val="bottom"/>
          </w:tcPr>
          <w:p>
            <w:pPr>
              <w:spacing w:after="0"/>
              <w:rPr>
                <w:sz w:val="18"/>
                <w:szCs w:val="18"/>
                <w:color w:val="auto"/>
              </w:rPr>
            </w:pPr>
          </w:p>
        </w:tc>
        <w:tc>
          <w:tcPr>
            <w:tcW w:w="120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Combined</w:t>
            </w:r>
          </w:p>
        </w:tc>
      </w:tr>
      <w:tr>
        <w:trPr>
          <w:trHeight w:val="19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Patient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116,817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116,817</w:t>
            </w: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Dispensary</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63,890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63,890</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Clinical trials &amp; other</w:t>
            </w:r>
          </w:p>
        </w:tc>
        <w:tc>
          <w:tcPr>
            <w:tcW w:w="100" w:type="dxa"/>
            <w:vAlign w:val="bottom"/>
          </w:tcPr>
          <w:p>
            <w:pPr>
              <w:spacing w:after="0"/>
              <w:rPr>
                <w:sz w:val="18"/>
                <w:szCs w:val="18"/>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6,808</w:t>
            </w:r>
          </w:p>
        </w:tc>
        <w:tc>
          <w:tcPr>
            <w:tcW w:w="1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6,808</w:t>
            </w:r>
          </w:p>
        </w:tc>
      </w:tr>
      <w:tr>
        <w:trPr>
          <w:trHeight w:val="19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operating revenue</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187,515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187,515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Direct costs - patient services</w:t>
            </w:r>
          </w:p>
        </w:tc>
        <w:tc>
          <w:tcPr>
            <w:tcW w:w="10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95,747</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95,747</w:t>
            </w: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Direct costs - dispensary</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53,907</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53,907</w:t>
            </w: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Direct costs - clinical trials &amp; other</w:t>
            </w:r>
          </w:p>
        </w:tc>
        <w:tc>
          <w:tcPr>
            <w:tcW w:w="10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982</w:t>
            </w: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41,897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(AA)</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83,548</w:t>
            </w:r>
          </w:p>
        </w:tc>
      </w:tr>
      <w:tr>
        <w:trPr>
          <w:trHeight w:val="203"/>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34,873</w:t>
            </w:r>
          </w:p>
        </w:tc>
        <w:tc>
          <w:tcPr>
            <w:tcW w:w="10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(BB)</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3,178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3,178</w:t>
            </w: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General and administrative expenses - related party</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(175)</w:t>
            </w: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(DD)</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Franchise tax expense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r>
      <w:tr>
        <w:trPr>
          <w:trHeight w:val="196"/>
        </w:trPr>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195,711</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41,167</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237,562</w:t>
            </w:r>
          </w:p>
        </w:tc>
        <w:tc>
          <w:tcPr>
            <w:tcW w:w="100" w:type="dxa"/>
            <w:vAlign w:val="bottom"/>
            <w:tcBorders>
              <w:bottom w:val="single" w:sz="8" w:color="CCEEFF"/>
            </w:tcBorders>
          </w:tcPr>
          <w:p>
            <w:pPr>
              <w:spacing w:after="0"/>
              <w:rPr>
                <w:sz w:val="17"/>
                <w:szCs w:val="17"/>
                <w:color w:val="auto"/>
              </w:rPr>
            </w:pPr>
          </w:p>
        </w:tc>
      </w:tr>
      <w:tr>
        <w:trPr>
          <w:trHeight w:val="196"/>
        </w:trPr>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from operations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(50,047)</w:t>
            </w:r>
          </w:p>
        </w:tc>
        <w:tc>
          <w:tcPr>
            <w:tcW w:w="100" w:type="dxa"/>
            <w:vAlign w:val="bottom"/>
            <w:shd w:val="clear" w:color="auto" w:fill="CCEEFF"/>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non-operating expense (income)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347</w:t>
            </w:r>
          </w:p>
        </w:tc>
      </w:tr>
      <w:tr>
        <w:trPr>
          <w:trHeight w:val="202"/>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6,271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(EE)</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6,659</w:t>
            </w: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Interest income from investments in Trust Account</w:t>
            </w:r>
          </w:p>
        </w:tc>
        <w:tc>
          <w:tcPr>
            <w:tcW w:w="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(CC)</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7,584</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Offering costs associated with derivative warrant liabilities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315</w:t>
            </w:r>
          </w:p>
        </w:tc>
      </w:tr>
      <w:tr>
        <w:trPr>
          <w:trHeight w:val="19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non-operating expense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14,905</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6"/>
                <w:szCs w:val="16"/>
                <w:b w:val="1"/>
                <w:bCs w:val="1"/>
                <w:color w:val="auto"/>
              </w:rPr>
              <w:t>Loss before provision for income taxes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(41,809)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(64,952)</w:t>
            </w:r>
          </w:p>
        </w:tc>
        <w:tc>
          <w:tcPr>
            <w:tcW w:w="100" w:type="dxa"/>
            <w:vAlign w:val="bottom"/>
          </w:tcPr>
          <w:p>
            <w:pPr>
              <w:spacing w:after="0"/>
              <w:rPr>
                <w:sz w:val="17"/>
                <w:szCs w:val="17"/>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 (benefit)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(482)</w:t>
            </w:r>
          </w:p>
        </w:tc>
      </w:tr>
      <w:tr>
        <w:trPr>
          <w:trHeight w:val="246"/>
        </w:trPr>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loss</w:t>
            </w: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(14,321</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(64,470</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86"/>
        </w:trPr>
        <w:tc>
          <w:tcPr>
            <w:tcW w:w="4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 of DFP Class A Common</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b w:val="1"/>
                <w:bCs w:val="1"/>
                <w:color w:val="auto"/>
              </w:rPr>
              <w:t>Stock, basic and diluted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73,385,485</w:t>
            </w:r>
          </w:p>
        </w:tc>
      </w:tr>
      <w:tr>
        <w:trPr>
          <w:trHeight w:val="205"/>
        </w:trPr>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Basic and diluted net loss per share, DFP Class A Common Stock</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(0.72)</w:t>
            </w:r>
          </w:p>
        </w:tc>
      </w:tr>
      <w:tr>
        <w:trPr>
          <w:trHeight w:val="432"/>
        </w:trPr>
        <w:tc>
          <w:tcPr>
            <w:tcW w:w="4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1" w:name="page142"/>
    <w:bookmarkEnd w:id="141"/>
    <w:p>
      <w:pPr>
        <w:ind w:left="2000"/>
        <w:spacing w:after="0"/>
        <w:rPr>
          <w:sz w:val="20"/>
          <w:szCs w:val="20"/>
          <w:color w:val="auto"/>
        </w:rPr>
      </w:pPr>
      <w:r>
        <w:rPr>
          <w:rFonts w:ascii="Arial" w:cs="Arial" w:eastAsia="Arial" w:hAnsi="Arial"/>
          <w:sz w:val="18"/>
          <w:szCs w:val="18"/>
          <w:b w:val="1"/>
          <w:bCs w:val="1"/>
          <w:color w:val="auto"/>
        </w:rPr>
        <w:t>NOTES TO THE UNAUDITED PRO FORMA CONDENSED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Business Combination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28, 2021, DFP entered into the Merger Agreement with TOI, under the terms of which, DFP will acquire TOI through a series of transactions and DFP will change its name to New TOI. After giving effect to the Business Combination, New TOI will own all of the issued and outstanding equity interests of TOI and its subsidiaries.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Closing, each outstanding share of TOI Common Stock as of immediately prior to the effective time of the Business Combination (after giving effect to the Conversion) will be exchanged for Per Share Merger Consideration equal to (i) a number of DFP Class A Common Stock equal to Closing Share Consideration; and (ii) an amount in cash equal to the Closing Cash Consideration divided by the Aggregate Fully Diluted Company Common Stock. The split of cash and stock is based on the available cash after the Public Stockholder redemption. The Closing Merger Consideration will be paid 21.9% cash and 78.1% stock. The Closing Merger Consideration to be transferred to TOI equity holders is $762.1 million. TOI equity holders are also entitled to the contingent right to receive Earnout Shares (further discussed below) with a fair value of $69.7 million.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Company Option that is an Eligible Cash-Out Vested Company Option will receive cash in an amount equal to (A) the Per Share Merger Consideration multiplied by (B) the number of shares of TOI Common Stock underlying such Eligible Cash-Out Vested Company Option, minus (C) the aggregate exercise price applicable to the shares of TOI Common Stock underlying such Eligible Cash-Out Vested Company Option. Each Vested Company Option will be exchanged for (i) an option to purchase shares of DFP Class A Common Stock (“New TOI Vested Options”) and (ii) the contingent right to receive Earnout Shares. Each Unvested Company Option that is outstanding immediately prior to the Effective Time will receive (i) an option to purchase shares of DFP Class A Common Stock (“New TOI Unvested Options” together with New TOI Vested Options, “New TOI Options”) and (ii) the contingent right to receive Earnout Shares.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Company RSU outstanding immediately prior to the Effective Time will (i) be converted into a restricted stock unit denominated in shares of DFP Class A Common Stock equal to the product of (A) the number of TOI Common Stock subject to such Company RSU prior to the Effective Time, and (B) the Exchange Ratio, and (ii) have the contingent right to receive Earnout Shares. Each Restricted Stock will be subject to the same vesting and forfeiture terms on which such Restricted Stock was issued and entitled to receive (i) the Per Share Merger Consideration and (ii) the contingent right to receive Earnout Shares.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Immediately prior to the effective time of the Business Combination, each of the currently issued and outstanding shares of DFP Class B Common Stock will automatically convert into DFP Class A Common Stock on a one-for-one basis in accordance with the terms of DFP’s amended and restated certificate of incorporation. Thereafter, in connection with the Closing, each of the then issued and outstanding shares of DFP Class A Common Stock will become shares of New TOI Common Stock. Further, each of the then issued and outstanding Public Warrants and Private Placement Warrants will convert on a one-for-one basis into warrants to acquire one share of New TOI Common Stock.</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Concurrently with the execution of the Merger Agreement, DFP also entered into a Stockholder Support Agreement with Subject Stockholders pursuant to which Subject Stockholders agreed to subject 20% of DFP Class B Common Stock held by Subject Shareholders (1,150,000 shares) (“Subject Shares”) and 20% of Private Placement Warrants held by Sponsor (746,667 warrants) (“Subject Warrants”) to forfeiture. The number of Subject Shares and Subject Warrants to be forfeited will be determined by multiplying the Subject Warrants and a fraction, the numerator of which is (A) the total number of shares of DFP Class A Common Stock redeemed by Public Stockholders prior to closing , and the denominator of which is (B) the total number of shares of DFP Class A Common Stock issued and outstanding as of June 28, 2021 (excluding such shares of DFP Class A Common Stock beneficially owned by the Subject Stockholders). The Subject Stockholders further agreed to subject 10% of DFP Class B Common Stock held by Subject Shareholders (575,000 shares) and 10% of Private Placement Warrants held by Sponsor (373,333 warrants) to earnout based on stock price thresholds,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spacing w:after="0" w:line="263" w:lineRule="auto"/>
        <w:rPr>
          <w:sz w:val="20"/>
          <w:szCs w:val="20"/>
          <w:color w:val="auto"/>
        </w:rPr>
      </w:pPr>
      <w:r>
        <w:rPr>
          <w:rFonts w:ascii="Arial" w:cs="Arial" w:eastAsia="Arial" w:hAnsi="Arial"/>
          <w:sz w:val="18"/>
          <w:szCs w:val="18"/>
          <w:color w:val="auto"/>
        </w:rPr>
        <w:t>In connection with the execution of the Merger Agreement, DFP entered into subscription agreements with the PIPE Investors, pursuant to which the PIPE Investors agreed to purchase, in aggregate, 27.5 million shares of DFP Class A Common Stock at $10.00 per share for an aggregate commitment of $275.0 million (the “PIPE Funds”).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Concurrently with the execution of the Merger Agreement, DFP entered into the Consent and Waiver Letter pursuant to which, among other things, (i) the Sponsor waived any adjustment to the conversion provisions in the Current Charter which would result in DFP Class B Common Stock converting to DFP Class A Common Stock at a ratio of greater than one-for-one upon consummation of the Business Combination, (ii) Deerfield Partners and Deerfield Private Design Fund IV (the “Deerfield Funds”) agreed not to redeem any of the 2,500,000 shares of DFP Class A Common Stock (5,000,000 shares total) included in the units of DFP purchased by each of the Deerfield Funds at the IPO and (iii) DFP, the Deerfield Funds and the Sponsor (collectively, the “Deerfield Holders”) agreed to use reasonable best efforts to negotiate and establish definitive documentation pursuant to which the Deerfield Holders would exchange a number of their shares of DFP Class A Common Stock and DFP Class B Common Stock for and in consideration of a number of shares of DFP preferred stock, par value $0.0001 per share, to be designated as Series A Common Equivalent Preferred Stock, such that immediately thereafter, the Deerfield Holders collectively will hold an aggregate number of outstanding shares of DFP Class A Common Stock that represents 4.5% of the then outstanding shares of DFP Class A Common Stock (the “Deerfield Exchange”). The terms of the Series A Common Equivalent Preferred Stock will provide that each share is convertible into 100 shares of New TOI Common Stock, at the option of the holder, will be entitled to a de minimis liquidation preference of $0.0001 per share, will not have any voting rights, will otherwise be substantially similar to the New TOI Common Stock and will be subject to a Blocker/Beneficial Ownership Limitation such that the Series A Common Equivalent Preferred Stock will not be convertible into more than 4.9% of the total number of shares of New TOI Common Stock then outstanding.</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TOI will issue to eligible TOI stockholders, Company Option holders and Company RSU holders up to 12,500,000 additional shares of New TOI Common Stock, in two tranches of 5,000,000 and 7,500,000 Earnout Shares, respectively, upon New TOI achieving a price per share of New TOI Common Stock of $12.50 during the two-year period following the Closing or a price per share of $15.00 during the three-year period following the Closing, in each case, as its last reported sales price per share for any 20 trading days within any 30 consecutive trading day period within the applicable period; provided, that (i) if one or both of the share price triggers has not been achieved prior to the end of the three-year period following the Closing, (ii) New TOI enters into a definitive agreement that would result in a change of control and (iii) the price per share of New TOI Common Stock in such transaction is equal to or greater than one or both of the share price triggers, then at the Closing of such transaction, New TOI shall issue the applicable portion of the Earnout Shares as if such share price trigger had been achieved.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Sponsor will deposit up to 575,000 shares of DFP Class A Common Stock in an escrow account that will vest and be released to the Sponsor in two tranches of 50%, each, upon New TOI achieving a price per share of New TOI Common Stock of $12.50 during the two-year period following the Closing or a price per share of $15.00 during the three-year period following the Closing in each case, as its last reported sales price per share for any 20 trading days within any 30 consecutive trading day period within the applicable period; provided, that (i) if one or both of the share price triggers has not been achieved prior to the end of the three-year period following the closing, (ii) New TOI enters into a definitive agreement that would result in a change of control and (iii) the price per share of New TOI Common Stock in such transaction is equal to or greater than one or both of the share price triggers, then at the closing of such transaction, New TOI shall issue the applicable portion of the Sponsor Earnout Securities as if such share price trigger had been achieved. To the extent any Sponsor Earnout Securities remain unvested at the expiration of the three-year period following the closing, such Sponsor Earnout Securities shall be forfeited and cancelled without any consideration.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The following summarizes the Closing Cash Consideration and Closing Share Consideration: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8300" w:type="dxa"/>
            <w:vAlign w:val="bottom"/>
            <w:tcBorders>
              <w:top w:val="single" w:sz="8" w:color="auto"/>
            </w:tcBorders>
            <w:shd w:val="clear" w:color="auto" w:fill="CCEEFF"/>
          </w:tcPr>
          <w:p>
            <w:pPr>
              <w:ind w:left="180"/>
              <w:spacing w:after="0" w:line="250" w:lineRule="exact"/>
              <w:rPr>
                <w:sz w:val="20"/>
                <w:szCs w:val="20"/>
                <w:color w:val="auto"/>
              </w:rPr>
            </w:pPr>
            <w:r>
              <w:rPr>
                <w:rFonts w:ascii="Arial" w:cs="Arial" w:eastAsia="Arial" w:hAnsi="Arial"/>
                <w:sz w:val="17"/>
                <w:szCs w:val="17"/>
                <w:color w:val="auto"/>
              </w:rPr>
              <w:t xml:space="preserve">Shares transferred to TOI at Closing </w:t>
            </w:r>
            <w:r>
              <w:rPr>
                <w:rFonts w:ascii="Arial" w:cs="Arial" w:eastAsia="Arial" w:hAnsi="Arial"/>
                <w:sz w:val="28"/>
                <w:szCs w:val="28"/>
                <w:color w:val="auto"/>
                <w:vertAlign w:val="superscript"/>
              </w:rPr>
              <w:t>(1)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59,546,762</w:t>
            </w:r>
          </w:p>
        </w:tc>
        <w:tc>
          <w:tcPr>
            <w:tcW w:w="12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30"/>
        </w:trPr>
        <w:tc>
          <w:tcPr>
            <w:tcW w:w="8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Value per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 Consideration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595,468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Total Cash Consideration</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166,584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19" w:lineRule="auto"/>
        <w:tabs>
          <w:tab w:leader="none" w:pos="192" w:val="left"/>
        </w:tabs>
        <w:numPr>
          <w:ilvl w:val="0"/>
          <w:numId w:val="77"/>
        </w:numPr>
        <w:rPr>
          <w:rFonts w:ascii="Arial" w:cs="Arial" w:eastAsia="Arial" w:hAnsi="Arial"/>
          <w:sz w:val="29"/>
          <w:szCs w:val="29"/>
          <w:b w:val="1"/>
          <w:bCs w:val="1"/>
          <w:color w:val="auto"/>
          <w:vertAlign w:val="superscript"/>
        </w:rPr>
      </w:pPr>
      <w:r>
        <w:rPr>
          <w:rFonts w:ascii="Arial" w:cs="Arial" w:eastAsia="Arial" w:hAnsi="Arial"/>
          <w:sz w:val="17"/>
          <w:szCs w:val="17"/>
          <w:color w:val="auto"/>
        </w:rPr>
        <w:t>Inclusive of 1.3 million DFP Class A Common Stock to be issued as Restricted Stock and 6.9 million DFP Class A Common Stock issuable upon exercise of New TOI Options. Total DFP Class A Common Stock issuable to TOI equity holders net of Restricted Stock and New TOI Options is 59.5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spacing w:after="0" w:line="277" w:lineRule="auto"/>
        <w:rPr>
          <w:sz w:val="20"/>
          <w:szCs w:val="20"/>
          <w:color w:val="auto"/>
        </w:rPr>
      </w:pPr>
      <w:r>
        <w:rPr>
          <w:rFonts w:ascii="Arial" w:cs="Arial" w:eastAsia="Arial" w:hAnsi="Arial"/>
          <w:sz w:val="18"/>
          <w:szCs w:val="18"/>
          <w:color w:val="auto"/>
        </w:rPr>
        <w:t>The following summarizes the pro forma DFP Class A Common Stock outstanding, excluding the potentially dilutive effect of the Earnout Shares, Sponsor Earnout Securities, exercise of Public Warrants and Private Placement Warrants, New TOI Options and Restricted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1"/>
              </w:rPr>
              <w:t>Final Redemption</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After Deerfield Exchange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DFP Class A Common Shares</w:t>
            </w: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 voting</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DFP Class A Common Shares</w:t>
            </w:r>
          </w:p>
        </w:tc>
        <w:tc>
          <w:tcPr>
            <w:tcW w:w="152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879,637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DFP Class B Common Shares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246,828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TOI Parent, Inc.</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51,326,470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Deerfield Holders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3,296,107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PIPE shares</w:t>
            </w:r>
          </w:p>
        </w:tc>
        <w:tc>
          <w:tcPr>
            <w:tcW w:w="15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2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 DFP Class A Common Shares at Close</w:t>
            </w:r>
          </w:p>
        </w:tc>
        <w:tc>
          <w:tcPr>
            <w:tcW w:w="15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73,249,042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Total Series A Common Equivalent Preferred Stock at Close</w:t>
            </w:r>
          </w:p>
        </w:tc>
        <w:tc>
          <w:tcPr>
            <w:tcW w:w="1520" w:type="dxa"/>
            <w:vAlign w:val="bottom"/>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Accounting Treatment for the Business Combination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Under this method of accounting, DFP will be treated as the “acquired” company for financial reporting purposes. Accordingly, the Business Combination will be treated as the equivalent of TOI issuing stock for the net assets of DFP, accompanied by a recapitalization. The net assets of DFP will be stated at historical cost, with no goodwill or other intangible assets recorded.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TOI has been determined to be the accounting acquirer based on the evaluation of the following facts and circumstances:</w:t>
      </w:r>
    </w:p>
    <w:p>
      <w:pPr>
        <w:spacing w:after="0" w:line="225" w:lineRule="exact"/>
        <w:rPr>
          <w:sz w:val="20"/>
          <w:szCs w:val="20"/>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TOI’s stockholders have the greatest voting interest in the combined entity with approximately 70.1% majority voting interest, after giving effect to the Deerfield Exchange;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TOI’s former executive management will constitute the vast majority of the management of New TOI;</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TOI’s existing directors and individuals designated by, or representing, TOI stockholders will constitute a majority of the initial New TOI board of directors following the consummation of the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relative fair values of TOI and DFP indicate that TOI is the accounting acquirer.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Earnout Shares issuable to eligible TOI’s stockholders and Sponsor Earnout Securities are expected to be accounted for as liability classified equity-linked instruments that are earned upon the achievement of certain triggering events. This portion of the Earnout Shares is liability classified due to failure to meet the equity classification criteria under ASC 815-40 –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The Earnout Shares liability will be remeasured at fair value through net income (loss) at each reporting period subsequent to the closing of the Business Combination. For purposes of pro forma Transaction adjustments, however, as subsequent fair value of the Earnout Shares liability cannot be estimated at the closing date of the Business Combination, there will be no pro forma impact to the statement of operations related to the remeasurement of this Earnout Shares liability.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Earnout Shares issuable to Company Option holders and Company RSU holders is considered a stock-based compensation award due to the requirement that Company Option holders and Company RSU holders must remain employed by New TOI in order not to forfeit such unvested Earnout Shares. The preliminary grant date fair value estimate of the stock-based compensation portion of the Earnout Shares is $7.5 million.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Earnout Shares and the Sponsor Earnout Securities were determined using a Monte Carlo simulation valuation model using a distribution of potential outcomes on a monthly basis over the derived Earnout Period and Sponsor Earnout Period. The preliminary estimated fair value of the Sponsor Earnout Securities and Earnout Shares was determined using the most reliable information available to estimate current stock price, expected volatility, the risk-free interest rate, the expected term, and 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4" w:name="page145"/>
    <w:bookmarkEnd w:id="144"/>
    <w:p>
      <w:pPr>
        <w:jc w:val="both"/>
        <w:spacing w:after="0" w:line="255" w:lineRule="auto"/>
        <w:rPr>
          <w:sz w:val="20"/>
          <w:szCs w:val="20"/>
          <w:color w:val="auto"/>
        </w:rPr>
      </w:pPr>
      <w:r>
        <w:rPr>
          <w:rFonts w:ascii="Arial" w:cs="Arial" w:eastAsia="Arial" w:hAnsi="Arial"/>
          <w:sz w:val="18"/>
          <w:szCs w:val="18"/>
          <w:color w:val="auto"/>
        </w:rPr>
        <w:t xml:space="preserve">Cash payments to holders of Eligible Cash-Out Vested Company Options will be recorded as compensation expense under ASC 718 –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New TOI Options and Restricted Stock granted in replacement of Company Options and Company RSUs are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improbable to probable modifications under ASC 718 and will be recognized over the applicable vesting period based on the fair value of the Company Options and Company RSUs immediately after modification. The preliminary estimated fair value of the New TOI Options and Restricted Stock was determined using a Black Scholes model with inputs based on the most reliable information available to estimate current stock price, expected volatility, the risk-free interest rate, the expected term, and expected dividend yield.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preparing these unaudited pro forma condensed combined financial statements, certain reclassifications were made to align DFP and TOI’s financial statement presentation. Upon consummation of the merger,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Transaction Adjustments to Unaudited Pro Forma Condensed Combined Balance Sheet as of September 30, 2021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 No tax adjustment has been computed for the pro forma New TOI financial results, as it expects to maintain a full valuation allowance against its U.S. deferred tax assets. The pro forma Transaction adjustments included in the unaudited pro forma condensed combined balance sheet as of September 30, 2021 are as follows:</w:t>
      </w:r>
    </w:p>
    <w:p>
      <w:pPr>
        <w:spacing w:after="0" w:line="187"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Reflects release of the restricted investments and cash held in the Trust Account upon consummation of the Business Combination.</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the proceeds of $275,000,000 from the issuance and sale of 27,500,000 shares of DFP Class A Common Stock at $10.00 per share with par value of $0.0001 to PIPE Investors, offset by the issuance costs of $7.0 million.</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the settlement of $6.3 million of DFP deferred underwriting fees incurred for the IPO that is payable upon consummation of a business combination.</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the one time, lump-sum cash settlement of the Eligible Cash-out Vested Company Options. Company Options exchanged for New TOI Options will be subject to ASC 718 on an ongoing basis. See Note 1 for further detail.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Represents preliminary estimated transaction costs incurred by DFP and TOI that are capitalized as part of the Business Combination.</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the fair value of the Earnout Shares liability potentially issuable to TOI stockholders and the Sponsor Earnout Securities that is not subject to a continued service requirement. The preliminary estimated fair value of the Sponsor Earnout Securities is $3.3 million. The preliminary estimated fair value of the liability classified portion of the Earnout Shares is $62.2 million.</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redemptions of 17,120,363 Public Stockholders at a redemption price of $10.00 per share as a result of DFP Class A shareholder votes at the Special Meeting.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the reclassification of DFP Class A common stock subject to possible redemption into permanent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the Conversion of TOI Preferred Stock into TOI Common Stock pursuant to the Merger Agreement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Reflects the conversion of DFP Class B Common Stock to DFP Class A Common Stock upon consummation of the Business Combination.</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the recapitalization of TOI and issuance of 51,326,470 shares of DFP Class A Common Stock $0.0001 per share par value to be issued to TOI stockholders and $166.6 million cash (which is inclusive of payments for Eligible Cash-Out Vested Company Option of $20.6 million as noted in (D) above) to TOI equity holders as consideration in the Business Combination.</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reflect the Deerfield Holders’ agreement to exchange its aggregate beneficial ownership of DFP Class A Common Stock for an equivalent amount of Series A Common Equivalent Preferred Stock to reduce Deerfield Holders’ voting interest in New TOI to 4.5%.</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the elimination of DFP’s historical accumulated deficit.</w:t>
      </w:r>
    </w:p>
    <w:p>
      <w:pPr>
        <w:spacing w:after="0" w:line="22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Reflects the change of classification of the Public Warrants from liability to equity upon Closing of the Business Combination resulting in the reduction of the DFP derivative liability. Upon Closing of the Business Combination, shares underlying the Public Warrants are not redeemable and New TOI will have one single class of voting stock, which does not preclude the Public Warrants from being considered indexed to New TOI’s equity and allows the Public Warrants to meet the criteria for equity classification per ASC 815-40 </w:t>
      </w:r>
      <w:r>
        <w:rPr>
          <w:rFonts w:ascii="Arial" w:cs="Arial" w:eastAsia="Arial" w:hAnsi="Arial"/>
          <w:sz w:val="18"/>
          <w:szCs w:val="18"/>
          <w:i w:val="1"/>
          <w:iCs w:val="1"/>
          <w:color w:val="auto"/>
        </w:rPr>
        <w:t>Contracts on an</w:t>
      </w:r>
      <w:r>
        <w:rPr>
          <w:rFonts w:ascii="Arial" w:cs="Arial" w:eastAsia="Arial" w:hAnsi="Arial"/>
          <w:sz w:val="18"/>
          <w:szCs w:val="18"/>
          <w:color w:val="auto"/>
        </w:rPr>
        <w:t xml:space="preserve"> </w:t>
      </w:r>
      <w:r>
        <w:rPr>
          <w:rFonts w:ascii="Arial" w:cs="Arial" w:eastAsia="Arial" w:hAnsi="Arial"/>
          <w:sz w:val="18"/>
          <w:szCs w:val="18"/>
          <w:i w:val="1"/>
          <w:iCs w:val="1"/>
          <w:color w:val="auto"/>
        </w:rPr>
        <w:t>Entity’s Own Equity</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the forfeiture of 555,791 Subject Warrants in connection with redemptions of DFP Class A Common Stock pursuant to the terms of the Stockholder Support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settlement of amounts due to related parties for DFP office space and administrative support services.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Transaction Adjustments to Unaudited Pro Forma Condensed Combined Statement of Operations for the nine months ended September 30, 2021 and the year ended December 31, 2020.</w:t>
      </w:r>
    </w:p>
    <w:p>
      <w:pPr>
        <w:spacing w:after="0" w:line="382" w:lineRule="exact"/>
        <w:rPr>
          <w:sz w:val="20"/>
          <w:szCs w:val="20"/>
          <w:color w:val="auto"/>
        </w:rPr>
      </w:pPr>
    </w:p>
    <w:p>
      <w:pPr>
        <w:ind w:left="960" w:hanging="439"/>
        <w:spacing w:after="0" w:line="342" w:lineRule="auto"/>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Reflects compensation expense recognized for the portion of Earnout Consideration subject to a service condition based on a grant date fair value of $7.5 million with a derived requisite service period of 0.74 years and 1.30 years for the two tranches of Earnout Shares, respectively.</w:t>
      </w:r>
    </w:p>
    <w:p>
      <w:pPr>
        <w:spacing w:after="0" w:line="123" w:lineRule="exact"/>
        <w:rPr>
          <w:rFonts w:ascii="Arial" w:cs="Arial" w:eastAsia="Arial" w:hAnsi="Arial"/>
          <w:sz w:val="16"/>
          <w:szCs w:val="16"/>
          <w:color w:val="auto"/>
        </w:rPr>
      </w:pPr>
    </w:p>
    <w:p>
      <w:pPr>
        <w:jc w:val="both"/>
        <w:ind w:left="960" w:hanging="439"/>
        <w:spacing w:after="0" w:line="259"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Reflects (i) compensation expense recognized on a straight line basis for the exchanged New TOI Options and Restricted Stock over a requisite service period of 3 years as well as (ii) compensation expense in connection with the one time, lump-sum payment to Eligible Cash-out Vested Company Options recognized in full in the unaudited pro forma condensed combined statement of operations for the year ended December 31, 2020.</w:t>
      </w:r>
    </w:p>
    <w:p>
      <w:pPr>
        <w:spacing w:after="0" w:line="186"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For the nine months ended September 30, 2021, compensation expense for the exchanged New TOI Options and Restricted Stock is $10.7 million based on a grant date fair value of $42.8 million.</w:t>
      </w:r>
    </w:p>
    <w:p>
      <w:pPr>
        <w:spacing w:after="0" w:line="170"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For the year ended December 31, 2020, compensation expense for the exchanged New TOI Options and Restricted Stock is $14.3 million based on a grant date fair value of $42.8 million.</w:t>
      </w:r>
    </w:p>
    <w:p>
      <w:pPr>
        <w:spacing w:after="0" w:line="170"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year ended December 31, 2020, compensation expense recognized for the one-time, lump-sum payment to Eligible Cash-out Vested Company Options is $20.6 million.</w:t>
      </w:r>
    </w:p>
    <w:p>
      <w:pPr>
        <w:spacing w:after="0" w:line="170" w:lineRule="exact"/>
        <w:rPr>
          <w:rFonts w:ascii="Arial" w:cs="Arial" w:eastAsia="Arial" w:hAnsi="Arial"/>
          <w:sz w:val="18"/>
          <w:szCs w:val="18"/>
          <w:color w:val="auto"/>
        </w:rPr>
      </w:pPr>
    </w:p>
    <w:p>
      <w:pPr>
        <w:ind w:left="960" w:hanging="439"/>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Reflects the elimination of investment income related to investments held in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left="960" w:hanging="439"/>
        <w:spacing w:after="0" w:line="277"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elimination of historical expenses related to DFP’s office space and related support services, which will terminate upon consummation of the Business Combination.</w:t>
      </w:r>
    </w:p>
    <w:p>
      <w:pPr>
        <w:spacing w:after="0" w:line="170" w:lineRule="exact"/>
        <w:rPr>
          <w:rFonts w:ascii="Arial" w:cs="Arial" w:eastAsia="Arial" w:hAnsi="Arial"/>
          <w:sz w:val="18"/>
          <w:szCs w:val="18"/>
          <w:color w:val="auto"/>
        </w:rPr>
      </w:pPr>
    </w:p>
    <w:p>
      <w:pPr>
        <w:ind w:left="960" w:hanging="439"/>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the pro rata allocation of transaction costs related to Private Placement Warrants.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(GG) Reflects the reversal of transaction costs to be capitalized as part of the Business Combination.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Loss per Share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loss per share is calculated by applying the two-class method and using the weighted average DFP Class A Common Stock outstanding, Series A Common Equivalent Preferred Stock outstanding and weighted average vested Restricted Stock outstanding, and the issuance of additional shares in connection with the Business Combination, assuming the shares were outstanding since January 1, 2020.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condensed combined financial information has been prepared for the nine months ended September 30, 2021 and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 except number of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140" w:type="dxa"/>
            <w:vAlign w:val="bottom"/>
            <w:gridSpan w:val="4"/>
          </w:tcPr>
          <w:p>
            <w:pPr>
              <w:ind w:left="1540"/>
              <w:spacing w:after="0"/>
              <w:rPr>
                <w:sz w:val="20"/>
                <w:szCs w:val="20"/>
                <w:color w:val="auto"/>
              </w:rPr>
            </w:pPr>
            <w:r>
              <w:rPr>
                <w:rFonts w:ascii="Arial" w:cs="Arial" w:eastAsia="Arial" w:hAnsi="Arial"/>
                <w:sz w:val="18"/>
                <w:szCs w:val="18"/>
                <w:b w:val="1"/>
                <w:bCs w:val="1"/>
                <w:color w:val="auto"/>
                <w:w w:val="93"/>
              </w:rPr>
              <w:t>September 30, 2021</w:t>
            </w:r>
          </w:p>
        </w:tc>
      </w:tr>
      <w:tr>
        <w:trPr>
          <w:trHeight w:val="189"/>
        </w:trPr>
        <w:tc>
          <w:tcPr>
            <w:tcW w:w="810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color w:val="auto"/>
              </w:rPr>
              <w:t>Basic and Diluted EPS:</w:t>
            </w:r>
          </w:p>
        </w:tc>
        <w:tc>
          <w:tcPr>
            <w:tcW w:w="15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 forma net loss</w:t>
            </w:r>
          </w:p>
        </w:tc>
        <w:tc>
          <w:tcPr>
            <w:tcW w:w="6400" w:type="dxa"/>
            <w:vAlign w:val="bottom"/>
            <w:tcBorders>
              <w:top w:val="single" w:sz="8" w:color="CCEEFF"/>
            </w:tcBorders>
            <w:gridSpan w:val="2"/>
          </w:tcPr>
          <w:p>
            <w:pPr>
              <w:spacing w:after="0"/>
              <w:rPr>
                <w:sz w:val="18"/>
                <w:szCs w:val="18"/>
                <w:color w:val="auto"/>
              </w:rPr>
            </w:pPr>
          </w:p>
        </w:tc>
        <w:tc>
          <w:tcPr>
            <w:tcW w:w="1920" w:type="dxa"/>
            <w:vAlign w:val="bottom"/>
            <w:tcBorders>
              <w:top w:val="single" w:sz="8" w:color="CCEEFF"/>
            </w:tcBorders>
            <w:gridSpan w:val="2"/>
          </w:tcPr>
          <w:p>
            <w:pPr>
              <w:ind w:left="15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(9,700)</w:t>
            </w:r>
          </w:p>
        </w:tc>
      </w:tr>
      <w:tr>
        <w:trPr>
          <w:trHeight w:val="230"/>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loss allocated to participating securities</w:t>
            </w:r>
          </w:p>
        </w:tc>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w:t>
            </w:r>
          </w:p>
        </w:tc>
      </w:tr>
      <w:tr>
        <w:trPr>
          <w:trHeight w:val="209"/>
        </w:trPr>
        <w:tc>
          <w:tcPr>
            <w:tcW w:w="8100" w:type="dxa"/>
            <w:vAlign w:val="bottom"/>
            <w:gridSpan w:val="3"/>
          </w:tcPr>
          <w:p>
            <w:pPr>
              <w:spacing w:after="0"/>
              <w:rPr>
                <w:sz w:val="20"/>
                <w:szCs w:val="20"/>
                <w:color w:val="auto"/>
              </w:rPr>
            </w:pPr>
            <w:r>
              <w:rPr>
                <w:rFonts w:ascii="Arial" w:cs="Arial" w:eastAsia="Arial" w:hAnsi="Arial"/>
                <w:sz w:val="18"/>
                <w:szCs w:val="18"/>
                <w:color w:val="auto"/>
              </w:rPr>
              <w:t>Pro forma net loss attributable to DFP Class A Common Stockholders</w:t>
            </w:r>
          </w:p>
        </w:tc>
        <w:tc>
          <w:tcPr>
            <w:tcW w:w="15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100" w:type="dxa"/>
            <w:vAlign w:val="bottom"/>
            <w:gridSpan w:val="3"/>
          </w:tcPr>
          <w:p>
            <w:pPr>
              <w:spacing w:after="0" w:line="176" w:lineRule="exact"/>
              <w:rPr>
                <w:sz w:val="20"/>
                <w:szCs w:val="20"/>
                <w:color w:val="auto"/>
              </w:rPr>
            </w:pPr>
            <w:r>
              <w:rPr>
                <w:rFonts w:ascii="Arial" w:cs="Arial" w:eastAsia="Arial" w:hAnsi="Arial"/>
                <w:sz w:val="18"/>
                <w:szCs w:val="18"/>
                <w:color w:val="auto"/>
              </w:rPr>
              <w:t>DFP Class A Common Stock</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7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81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Weighted average shares outstanding of DFP Class A Common Stock, basic and diluted </w:t>
            </w:r>
            <w:r>
              <w:rPr>
                <w:rFonts w:ascii="Arial" w:cs="Arial" w:eastAsia="Arial" w:hAnsi="Arial"/>
                <w:sz w:val="29"/>
                <w:szCs w:val="29"/>
                <w:color w:val="auto"/>
                <w:vertAlign w:val="superscript"/>
              </w:rPr>
              <w:t>(1)</w:t>
            </w:r>
          </w:p>
        </w:tc>
        <w:tc>
          <w:tcPr>
            <w:tcW w:w="1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73,787,558</w:t>
            </w:r>
          </w:p>
        </w:tc>
      </w:tr>
      <w:tr>
        <w:trPr>
          <w:trHeight w:val="390"/>
        </w:trPr>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Basic and diluted net loss per share, DFP Class A Common Stock </w:t>
            </w:r>
            <w:r>
              <w:rPr>
                <w:rFonts w:ascii="Arial" w:cs="Arial" w:eastAsia="Arial" w:hAnsi="Arial"/>
                <w:sz w:val="29"/>
                <w:szCs w:val="29"/>
                <w:color w:val="auto"/>
                <w:vertAlign w:val="superscript"/>
              </w:rPr>
              <w:t>(3)</w:t>
            </w:r>
          </w:p>
        </w:tc>
        <w:tc>
          <w:tcPr>
            <w:tcW w:w="192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Year ended</w:t>
            </w:r>
          </w:p>
        </w:tc>
      </w:tr>
      <w:tr>
        <w:trPr>
          <w:trHeight w:val="234"/>
        </w:trPr>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120" w:type="dxa"/>
            <w:vAlign w:val="bottom"/>
            <w:gridSpan w:val="4"/>
          </w:tcPr>
          <w:p>
            <w:pPr>
              <w:ind w:left="1560"/>
              <w:spacing w:after="0"/>
              <w:rPr>
                <w:sz w:val="20"/>
                <w:szCs w:val="20"/>
                <w:color w:val="auto"/>
              </w:rPr>
            </w:pPr>
            <w:r>
              <w:rPr>
                <w:rFonts w:ascii="Arial" w:cs="Arial" w:eastAsia="Arial" w:hAnsi="Arial"/>
                <w:sz w:val="18"/>
                <w:szCs w:val="18"/>
                <w:b w:val="1"/>
                <w:bCs w:val="1"/>
                <w:color w:val="auto"/>
                <w:w w:val="94"/>
              </w:rPr>
              <w:t>December 31, 2020</w:t>
            </w:r>
          </w:p>
        </w:tc>
      </w:tr>
      <w:tr>
        <w:trPr>
          <w:trHeight w:val="190"/>
        </w:trPr>
        <w:tc>
          <w:tcPr>
            <w:tcW w:w="812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color w:val="auto"/>
              </w:rPr>
              <w:t>Basic and Diluted EPS:</w:t>
            </w:r>
          </w:p>
        </w:tc>
        <w:tc>
          <w:tcPr>
            <w:tcW w:w="1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 forma net loss</w:t>
            </w:r>
          </w:p>
        </w:tc>
        <w:tc>
          <w:tcPr>
            <w:tcW w:w="6420" w:type="dxa"/>
            <w:vAlign w:val="bottom"/>
            <w:tcBorders>
              <w:top w:val="single" w:sz="8" w:color="CCEEFF"/>
            </w:tcBorders>
            <w:gridSpan w:val="2"/>
          </w:tcPr>
          <w:p>
            <w:pPr>
              <w:spacing w:after="0"/>
              <w:rPr>
                <w:sz w:val="18"/>
                <w:szCs w:val="18"/>
                <w:color w:val="auto"/>
              </w:rPr>
            </w:pPr>
          </w:p>
        </w:tc>
        <w:tc>
          <w:tcPr>
            <w:tcW w:w="1740" w:type="dxa"/>
            <w:vAlign w:val="bottom"/>
            <w:tcBorders>
              <w:top w:val="single" w:sz="8" w:color="CCEEFF"/>
            </w:tcBorders>
            <w:gridSpan w:val="2"/>
          </w:tcPr>
          <w:p>
            <w:pPr>
              <w:ind w:left="15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(64,470)</w:t>
            </w:r>
          </w:p>
        </w:tc>
      </w:tr>
      <w:tr>
        <w:trPr>
          <w:trHeight w:val="230"/>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allocated to participating securities</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(11,747)</w:t>
            </w:r>
          </w:p>
        </w:tc>
      </w:tr>
      <w:tr>
        <w:trPr>
          <w:trHeight w:val="210"/>
        </w:trPr>
        <w:tc>
          <w:tcPr>
            <w:tcW w:w="8120" w:type="dxa"/>
            <w:vAlign w:val="bottom"/>
            <w:gridSpan w:val="3"/>
          </w:tcPr>
          <w:p>
            <w:pPr>
              <w:spacing w:after="0"/>
              <w:rPr>
                <w:sz w:val="20"/>
                <w:szCs w:val="20"/>
                <w:color w:val="auto"/>
              </w:rPr>
            </w:pPr>
            <w:r>
              <w:rPr>
                <w:rFonts w:ascii="Arial" w:cs="Arial" w:eastAsia="Arial" w:hAnsi="Arial"/>
                <w:sz w:val="18"/>
                <w:szCs w:val="18"/>
                <w:color w:val="auto"/>
              </w:rPr>
              <w:t>Pro forma net loss attributable to DFP Class A Common Stockholders</w:t>
            </w:r>
          </w:p>
        </w:tc>
        <w:tc>
          <w:tcPr>
            <w:tcW w:w="1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(52,723)</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120" w:type="dxa"/>
            <w:vAlign w:val="bottom"/>
            <w:gridSpan w:val="3"/>
          </w:tcPr>
          <w:p>
            <w:pPr>
              <w:spacing w:after="0" w:line="176" w:lineRule="exact"/>
              <w:rPr>
                <w:sz w:val="20"/>
                <w:szCs w:val="20"/>
                <w:color w:val="auto"/>
              </w:rPr>
            </w:pPr>
            <w:r>
              <w:rPr>
                <w:rFonts w:ascii="Arial" w:cs="Arial" w:eastAsia="Arial" w:hAnsi="Arial"/>
                <w:sz w:val="18"/>
                <w:szCs w:val="18"/>
                <w:color w:val="auto"/>
              </w:rPr>
              <w:t>DFP Class A Common Stock</w:t>
            </w: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7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81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Weighted average shares outstanding of DFP Class A Common Stock, basic and diluted </w:t>
            </w:r>
            <w:r>
              <w:rPr>
                <w:rFonts w:ascii="Arial" w:cs="Arial" w:eastAsia="Arial" w:hAnsi="Arial"/>
                <w:sz w:val="29"/>
                <w:szCs w:val="29"/>
                <w:color w:val="auto"/>
                <w:vertAlign w:val="superscript"/>
              </w:rPr>
              <w:t>(2)</w:t>
            </w:r>
          </w:p>
        </w:tc>
        <w:tc>
          <w:tcPr>
            <w:tcW w:w="1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73,385,485</w:t>
            </w:r>
          </w:p>
        </w:tc>
      </w:tr>
      <w:tr>
        <w:trPr>
          <w:trHeight w:val="390"/>
        </w:trPr>
        <w:tc>
          <w:tcPr>
            <w:tcW w:w="8120" w:type="dxa"/>
            <w:vAlign w:val="bottom"/>
            <w:gridSpan w:val="3"/>
          </w:tcPr>
          <w:p>
            <w:pPr>
              <w:spacing w:after="0"/>
              <w:rPr>
                <w:sz w:val="20"/>
                <w:szCs w:val="20"/>
                <w:color w:val="auto"/>
              </w:rPr>
            </w:pPr>
            <w:r>
              <w:rPr>
                <w:rFonts w:ascii="Arial" w:cs="Arial" w:eastAsia="Arial" w:hAnsi="Arial"/>
                <w:sz w:val="18"/>
                <w:szCs w:val="18"/>
                <w:color w:val="auto"/>
              </w:rPr>
              <w:t xml:space="preserve">Basic and diluted net loss per share, DFP Class A Common Stock </w:t>
            </w:r>
            <w:r>
              <w:rPr>
                <w:rFonts w:ascii="Arial" w:cs="Arial" w:eastAsia="Arial" w:hAnsi="Arial"/>
                <w:sz w:val="29"/>
                <w:szCs w:val="29"/>
                <w:color w:val="auto"/>
                <w:vertAlign w:val="superscript"/>
              </w:rPr>
              <w:t>(3)</w:t>
            </w:r>
          </w:p>
        </w:tc>
        <w:tc>
          <w:tcPr>
            <w:tcW w:w="174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Comprised of 73,249,042 weighted average DFP Class A Common Shares outstanding plus 538,516 weighted average vested Restricted Stock.</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Comprised of 73,249,042 weighted average DFP Class A Common Shares outstanding plus 136,443 weighted average vested Restricted Stock.</w:t>
      </w:r>
    </w:p>
    <w:p>
      <w:pPr>
        <w:spacing w:after="0" w:line="32"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the unaudited pro forma condensed combined statement of operations is in a loss position, anti-dilutive instruments were not included in the calculation of diluted 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Roman"/>
      <w:start w:val="1"/>
    </w:lvl>
  </w:abstractNum>
  <w:abstractNum w:abstractNumId="2">
    <w:nsid w:val="2A487CB0"/>
    <w:multiLevelType w:val="hybridMultilevel"/>
    <w:lvl w:ilvl="0">
      <w:lvlJc w:val="left"/>
      <w:lvlText w:val="·"/>
      <w:numFmt w:val="bullet"/>
      <w:start w:val="1"/>
    </w:lvl>
    <w:lvl w:ilvl="1">
      <w:lvlJc w:val="left"/>
      <w:lvlText w:val="·"/>
      <w:numFmt w:val="bullet"/>
      <w:start w:val="1"/>
    </w:lvl>
  </w:abstractNum>
  <w:abstractNum w:abstractNumId="3">
    <w:nsid w:val="1D4ED43B"/>
    <w:multiLevelType w:val="hybridMultilevel"/>
    <w:lvl w:ilvl="0">
      <w:lvlJc w:val="left"/>
      <w:lvlText w:val="(%1)"/>
      <w:numFmt w:val="lowerRoman"/>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6"/>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upperLetter"/>
      <w:start w:val="1"/>
    </w:lvl>
    <w:lvl w:ilvl="1">
      <w:lvlJc w:val="left"/>
      <w:lvlText w:val="%2."/>
      <w:numFmt w:val="decimal"/>
      <w:start w:val="1"/>
    </w:lvl>
  </w:abstractNum>
  <w:abstractNum w:abstractNumId="20">
    <w:nsid w:val="75C6C33A"/>
    <w:multiLevelType w:val="hybridMultilevel"/>
    <w:lvl w:ilvl="0">
      <w:lvlJc w:val="left"/>
      <w:lvlText w:val="%1."/>
      <w:numFmt w:val="decimal"/>
      <w:start w:val="3"/>
    </w:lvl>
  </w:abstractNum>
  <w:abstractNum w:abstractNumId="21">
    <w:nsid w:val="12E685FB"/>
    <w:multiLevelType w:val="hybridMultilevel"/>
    <w:lvl w:ilvl="0">
      <w:lvlJc w:val="left"/>
      <w:lvlText w:val="%1"/>
      <w:numFmt w:val="upperLetter"/>
      <w:start w:val="1"/>
    </w:lvl>
    <w:lvl w:ilvl="1">
      <w:lvlJc w:val="left"/>
      <w:lvlText w:val="%2."/>
      <w:numFmt w:val="decimal"/>
      <w:start w:val="4"/>
    </w:lvl>
  </w:abstractNum>
  <w:abstractNum w:abstractNumId="22">
    <w:nsid w:val="70C6A529"/>
    <w:multiLevelType w:val="hybridMultilevel"/>
    <w:lvl w:ilvl="0">
      <w:lvlJc w:val="left"/>
      <w:lvlText w:val="%1."/>
      <w:numFmt w:val="upperLetter"/>
      <w:start w:val="2"/>
    </w:lvl>
    <w:lvl w:ilvl="1">
      <w:lvlJc w:val="left"/>
      <w:lvlText w:val="%2"/>
      <w:numFmt w:val="decimal"/>
      <w:start w:val="1"/>
    </w:lvl>
  </w:abstractNum>
  <w:abstractNum w:abstractNumId="23">
    <w:nsid w:val="520EEDD1"/>
    <w:multiLevelType w:val="hybridMultilevel"/>
    <w:lvl w:ilvl="0">
      <w:lvlJc w:val="left"/>
      <w:lvlText w:val="%1."/>
      <w:numFmt w:val="upperLetter"/>
      <w:start w:val="1"/>
    </w:lvl>
  </w:abstractNum>
  <w:abstractNum w:abstractNumId="24">
    <w:nsid w:val="374A3FE6"/>
    <w:multiLevelType w:val="hybridMultilevel"/>
    <w:lvl w:ilvl="0">
      <w:lvlJc w:val="left"/>
      <w:lvlText w:val="%1."/>
      <w:numFmt w:val="upperLetter"/>
      <w:start w:val="3"/>
    </w:lvl>
  </w:abstractNum>
  <w:abstractNum w:abstractNumId="25">
    <w:nsid w:val="4F4EF005"/>
    <w:multiLevelType w:val="hybridMultilevel"/>
    <w:lvl w:ilvl="0">
      <w:lvlJc w:val="left"/>
      <w:lvlText w:val="%1."/>
      <w:numFmt w:val="upperLetter"/>
      <w:start w:val="1"/>
    </w:lvl>
  </w:abstractNum>
  <w:abstractNum w:abstractNumId="26">
    <w:nsid w:val="23F9C13C"/>
    <w:multiLevelType w:val="hybridMultilevel"/>
    <w:lvl w:ilvl="0">
      <w:lvlJc w:val="left"/>
      <w:lvlText w:val="%1."/>
      <w:numFmt w:val="upperLetter"/>
      <w:start w:val="2"/>
    </w:lvl>
  </w:abstractNum>
  <w:abstractNum w:abstractNumId="27">
    <w:nsid w:val="649BB77C"/>
    <w:multiLevelType w:val="hybridMultilevel"/>
    <w:lvl w:ilvl="0">
      <w:lvlJc w:val="left"/>
      <w:lvlText w:val="%1."/>
      <w:numFmt w:val="upperLetter"/>
      <w:start w:val="1"/>
    </w:lvl>
  </w:abstractNum>
  <w:abstractNum w:abstractNumId="28">
    <w:nsid w:val="275AC794"/>
    <w:multiLevelType w:val="hybridMultilevel"/>
    <w:lvl w:ilvl="0">
      <w:lvlJc w:val="left"/>
      <w:lvlText w:val="%1"/>
      <w:numFmt w:val="lowerRoman"/>
      <w:start w:val="1"/>
    </w:lvl>
    <w:lvl w:ilvl="1">
      <w:lvlJc w:val="left"/>
      <w:lvlText w:val="%2."/>
      <w:numFmt w:val="upperLetter"/>
      <w:start w:val="3"/>
    </w:lvl>
  </w:abstractNum>
  <w:abstractNum w:abstractNumId="29">
    <w:nsid w:val="39386575"/>
    <w:multiLevelType w:val="hybridMultilevel"/>
    <w:lvl w:ilvl="0">
      <w:lvlJc w:val="left"/>
      <w:lvlText w:val="(%1)"/>
      <w:numFmt w:val="lowerRoman"/>
      <w:start w:val="2"/>
    </w:lvl>
    <w:lvl w:ilvl="1">
      <w:lvlJc w:val="left"/>
      <w:lvlText w:val="%2"/>
      <w:numFmt w:val="upperLetter"/>
      <w:start w:val="1"/>
    </w:lvl>
  </w:abstractNum>
  <w:abstractNum w:abstractNumId="30">
    <w:nsid w:val="1CF10FD8"/>
    <w:multiLevelType w:val="hybridMultilevel"/>
    <w:lvl w:ilvl="0">
      <w:lvlJc w:val="left"/>
      <w:lvlText w:val="%1"/>
      <w:numFmt w:val="lowerRoman"/>
      <w:start w:val="1"/>
    </w:lvl>
    <w:lvl w:ilvl="1">
      <w:lvlJc w:val="left"/>
      <w:lvlText w:val="%2."/>
      <w:numFmt w:val="upperLetter"/>
      <w:start w:val="1"/>
    </w:lvl>
  </w:abstractNum>
  <w:abstractNum w:abstractNumId="31">
    <w:nsid w:val="180115BE"/>
    <w:multiLevelType w:val="hybridMultilevel"/>
    <w:lvl w:ilvl="0">
      <w:lvlJc w:val="left"/>
      <w:lvlText w:val="(%1)"/>
      <w:numFmt w:val="lowerRoman"/>
      <w:start w:val="4"/>
    </w:lvl>
    <w:lvl w:ilvl="1">
      <w:lvlJc w:val="left"/>
      <w:lvlText w:val="%2"/>
      <w:numFmt w:val="upperLetter"/>
      <w:start w:val="1"/>
    </w:lvl>
  </w:abstractNum>
  <w:abstractNum w:abstractNumId="32">
    <w:nsid w:val="235BA861"/>
    <w:multiLevelType w:val="hybridMultilevel"/>
    <w:lvl w:ilvl="0">
      <w:lvlJc w:val="left"/>
      <w:lvlText w:val="%1."/>
      <w:numFmt w:val="upperLetter"/>
      <w:start w:val="2"/>
    </w:lvl>
  </w:abstractNum>
  <w:abstractNum w:abstractNumId="33">
    <w:nsid w:val="47398C89"/>
    <w:multiLevelType w:val="hybridMultilevel"/>
    <w:lvl w:ilvl="0">
      <w:lvlJc w:val="left"/>
      <w:lvlText w:val="%1."/>
      <w:numFmt w:val="upperLetter"/>
      <w:start w:val="1"/>
    </w:lvl>
  </w:abstractNum>
  <w:abstractNum w:abstractNumId="34">
    <w:nsid w:val="354FE9F9"/>
    <w:multiLevelType w:val="hybridMultilevel"/>
    <w:lvl w:ilvl="0">
      <w:lvlJc w:val="left"/>
      <w:lvlText w:val="(%1)"/>
      <w:numFmt w:val="lowerRoman"/>
      <w:start w:val="1"/>
    </w:lvl>
  </w:abstractNum>
  <w:abstractNum w:abstractNumId="35">
    <w:nsid w:val="15B5AF5C"/>
    <w:multiLevelType w:val="hybridMultilevel"/>
    <w:lvl w:ilvl="0">
      <w:lvlJc w:val="left"/>
      <w:lvlText w:val="(%1)"/>
      <w:numFmt w:val="lowerRoman"/>
      <w:start w:val="2"/>
    </w:lvl>
    <w:lvl w:ilvl="1">
      <w:lvlJc w:val="left"/>
      <w:lvlText w:val="(%2)"/>
      <w:numFmt w:val="lowerLetter"/>
      <w:start w:val="1"/>
    </w:lvl>
  </w:abstractNum>
  <w:abstractNum w:abstractNumId="36">
    <w:nsid w:val="741226BB"/>
    <w:multiLevelType w:val="hybridMultilevel"/>
    <w:lvl w:ilvl="0">
      <w:lvlJc w:val="left"/>
      <w:lvlText w:val="(%1)"/>
      <w:numFmt w:val="lowerLetter"/>
      <w:start w:val="2"/>
    </w:lvl>
  </w:abstractNum>
  <w:abstractNum w:abstractNumId="37">
    <w:nsid w:val="D34B6A8"/>
    <w:multiLevelType w:val="hybridMultilevel"/>
    <w:lvl w:ilvl="0">
      <w:lvlJc w:val="left"/>
      <w:lvlText w:val="(%1)"/>
      <w:numFmt w:val="lowerRoman"/>
      <w:start w:val="4"/>
    </w:lvl>
  </w:abstractNum>
  <w:abstractNum w:abstractNumId="38">
    <w:nsid w:val="10233C99"/>
    <w:multiLevelType w:val="hybridMultilevel"/>
    <w:lvl w:ilvl="0">
      <w:lvlJc w:val="left"/>
      <w:lvlText w:val="(%1)"/>
      <w:numFmt w:val="lowerRoman"/>
      <w:start w:val="1"/>
    </w:lvl>
  </w:abstractNum>
  <w:abstractNum w:abstractNumId="39">
    <w:nsid w:val="3F6AB60F"/>
    <w:multiLevelType w:val="hybridMultilevel"/>
    <w:lvl w:ilvl="0">
      <w:lvlJc w:val="left"/>
      <w:lvlText w:val="(%1)"/>
      <w:numFmt w:val="lowerRoman"/>
      <w:start w:val="2"/>
    </w:lvl>
    <w:lvl w:ilvl="1">
      <w:lvlJc w:val="left"/>
      <w:lvlText w:val="(%2)"/>
      <w:numFmt w:val="lowerLetter"/>
      <w:start w:val="1"/>
    </w:lvl>
  </w:abstractNum>
  <w:abstractNum w:abstractNumId="40">
    <w:nsid w:val="61574095"/>
    <w:multiLevelType w:val="hybridMultilevel"/>
    <w:lvl w:ilvl="0">
      <w:lvlJc w:val="left"/>
      <w:lvlText w:val="(%1)"/>
      <w:numFmt w:val="lowerLetter"/>
      <w:start w:val="3"/>
    </w:lvl>
  </w:abstractNum>
  <w:abstractNum w:abstractNumId="41">
    <w:nsid w:val="7E0C57B1"/>
    <w:multiLevelType w:val="hybridMultilevel"/>
    <w:lvl w:ilvl="0">
      <w:lvlJc w:val="left"/>
      <w:lvlText w:val="(%1)"/>
      <w:numFmt w:val="lowerRoman"/>
      <w:start w:val="7"/>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Roman"/>
      <w:start w:val="2"/>
    </w:lvl>
  </w:abstractNum>
  <w:abstractNum w:abstractNumId="44">
    <w:nsid w:val="310C50B3"/>
    <w:multiLevelType w:val="hybridMultilevel"/>
    <w:lvl w:ilvl="0">
      <w:lvlJc w:val="left"/>
      <w:lvlText w:val="(%1)"/>
      <w:numFmt w:val="lowerRoman"/>
      <w:start w:val="1"/>
    </w:lvl>
  </w:abstractNum>
  <w:abstractNum w:abstractNumId="45">
    <w:nsid w:val="5FF87E05"/>
    <w:multiLevelType w:val="hybridMultilevel"/>
    <w:lvl w:ilvl="0">
      <w:lvlJc w:val="left"/>
      <w:lvlText w:val="(%1)"/>
      <w:numFmt w:val="lowerRoman"/>
      <w:start w:val="5"/>
    </w:lvl>
  </w:abstractNum>
  <w:abstractNum w:abstractNumId="46">
    <w:nsid w:val="2F305DEF"/>
    <w:multiLevelType w:val="hybridMultilevel"/>
    <w:lvl w:ilvl="0">
      <w:lvlJc w:val="left"/>
      <w:lvlText w:val="(%1)"/>
      <w:numFmt w:val="lowerRoman"/>
      <w:start w:val="1"/>
    </w:lvl>
  </w:abstractNum>
  <w:abstractNum w:abstractNumId="47">
    <w:nsid w:val="25A70BF7"/>
    <w:multiLevelType w:val="hybridMultilevel"/>
    <w:lvl w:ilvl="0">
      <w:lvlJc w:val="left"/>
      <w:lvlText w:val="(%1)"/>
      <w:numFmt w:val="lowerRoman"/>
      <w:start w:val="1"/>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1)"/>
      <w:numFmt w:val="lowerRoman"/>
      <w:start w:val="1"/>
    </w:lvl>
    <w:lvl w:ilvl="1">
      <w:lvlJc w:val="left"/>
      <w:lvlText w:val="(%2)"/>
      <w:numFmt w:val="lowerLetter"/>
      <w:start w:val="1"/>
    </w:lvl>
  </w:abstractNum>
  <w:abstractNum w:abstractNumId="50">
    <w:nsid w:val="1F48EAA1"/>
    <w:multiLevelType w:val="hybridMultilevel"/>
    <w:lvl w:ilvl="0">
      <w:lvlJc w:val="left"/>
      <w:lvlText w:val="(%1)"/>
      <w:numFmt w:val="lowerLetter"/>
      <w:start w:val="2"/>
    </w:lvl>
  </w:abstractNum>
  <w:abstractNum w:abstractNumId="51">
    <w:nsid w:val="1381823A"/>
    <w:multiLevelType w:val="hybridMultilevel"/>
    <w:lvl w:ilvl="0">
      <w:lvlJc w:val="left"/>
      <w:lvlText w:val="(%1)"/>
      <w:numFmt w:val="lowerRoman"/>
      <w:start w:val="1"/>
    </w:lvl>
  </w:abstractNum>
  <w:abstractNum w:abstractNumId="52">
    <w:nsid w:val="5DB70AE5"/>
    <w:multiLevelType w:val="hybridMultilevel"/>
    <w:lvl w:ilvl="0">
      <w:lvlJc w:val="left"/>
      <w:lvlText w:val="(%1)"/>
      <w:numFmt w:val="lowerRoman"/>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1"/>
    </w:lvl>
    <w:lvl w:ilvl="1">
      <w:lvlJc w:val="left"/>
      <w:lvlText w:val="(%2)"/>
      <w:numFmt w:val="lowerRoman"/>
      <w:start w:val="1"/>
    </w:lvl>
  </w:abstractNum>
  <w:abstractNum w:abstractNumId="59">
    <w:nsid w:val="6B94764"/>
    <w:multiLevelType w:val="hybridMultilevel"/>
    <w:lvl w:ilvl="0">
      <w:lvlJc w:val="left"/>
      <w:lvlText w:val="(%1)"/>
      <w:numFmt w:val="lowerRoman"/>
      <w:start w:val="2"/>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1)"/>
      <w:numFmt w:val="lowerRoman"/>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3"/>
    </w:lvl>
  </w:abstractNum>
  <w:abstractNum w:abstractNumId="66">
    <w:nsid w:val="7BD3EE7B"/>
    <w:multiLevelType w:val="hybridMultilevel"/>
    <w:lvl w:ilvl="0">
      <w:lvlJc w:val="left"/>
      <w:lvlText w:val="(%1)"/>
      <w:numFmt w:val="decimal"/>
      <w:start w:val="2"/>
    </w:lvl>
  </w:abstractNum>
  <w:abstractNum w:abstractNumId="67">
    <w:nsid w:val="51D9C564"/>
    <w:multiLevelType w:val="hybridMultilevel"/>
    <w:lvl w:ilvl="0">
      <w:lvlJc w:val="left"/>
      <w:lvlText w:val="(%1)"/>
      <w:numFmt w:val="lowerRoman"/>
      <w:start w:val="2"/>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2"/>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2"/>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7"/>
    </w:lvl>
  </w:abstractNum>
  <w:abstractNum w:abstractNumId="74">
    <w:nsid w:val="1A32234B"/>
    <w:multiLevelType w:val="hybridMultilevel"/>
    <w:lvl w:ilvl="0">
      <w:lvlJc w:val="left"/>
      <w:lvlText w:val="\emdash "/>
      <w:numFmt w:val="bullet"/>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upperLetter"/>
      <w:start w:val="1"/>
    </w:lvl>
  </w:abstractNum>
  <w:abstractNum w:abstractNumId="79">
    <w:nsid w:val="6A5EE64"/>
    <w:multiLevelType w:val="hybridMultilevel"/>
    <w:lvl w:ilvl="0">
      <w:lvlJc w:val="left"/>
      <w:lvlText w:val="(%1)"/>
      <w:numFmt w:val="upperLetter"/>
      <w:start w:val="9"/>
    </w:lvl>
  </w:abstractNum>
  <w:abstractNum w:abstractNumId="80">
    <w:nsid w:val="14330624"/>
    <w:multiLevelType w:val="hybridMultilevel"/>
    <w:lvl w:ilvl="0">
      <w:lvlJc w:val="left"/>
      <w:lvlText w:val="(%1)"/>
      <w:numFmt w:val="upperLetter"/>
      <w:start w:val="27"/>
    </w:lvl>
  </w:abstractNum>
  <w:abstractNum w:abstractNumId="81">
    <w:nsid w:val="7FFFCA11"/>
    <w:multiLevelType w:val="hybridMultilevel"/>
    <w:lvl w:ilvl="0">
      <w:lvlJc w:val="left"/>
      <w:lvlText w:val="(%1)"/>
      <w:numFmt w:val="upperLetter"/>
      <w:start w:val="30"/>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45" Type="http://schemas.openxmlformats.org/officeDocument/2006/relationships/hyperlink" Target="http://www.sec.gov/Archives/edgar/data/1799191/000110465921127792/tm2122352-12_s4a.htm#tANNA" TargetMode="External"/><Relationship Id="rId46" Type="http://schemas.openxmlformats.org/officeDocument/2006/relationships/hyperlink" Target="http://www.sec.gov/Archives/edgar/data/1799191/000110465920032909/tm201723d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2021-11-18T16:33:11Z</dcterms:created>
  <dcterms:modified xsi:type="dcterms:W3CDTF">2021-11-18T16:33:11Z</dcterms:modified>
</cp:coreProperties>
</file>