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ind w:left="224" w:right="0" w:hanging="0"/>
        <w:jc w:val="left"/>
        <w:rPr>
          <w:caps w:val="false"/>
          <w:smallCaps w:val="false"/>
        </w:rPr>
      </w:pPr>
      <w:bookmarkStart w:id="0" w:name="toi_8k.htm"/>
      <w:bookmarkStart w:id="1" w:name="kstoi_8k"/>
      <w:bookmarkEnd w:id="0"/>
      <w:bookmarkEnd w:id="1"/>
      <w:r>
        <w:rPr>
          <w:caps w:val="false"/>
          <w:smallCaps w:val="false"/>
        </w:rPr>
        <w:t> </w:t>
      </w:r>
    </w:p>
    <w:p>
      <w:pPr>
        <w:pStyle w:val="TextBody"/>
        <w:bidi w:val="0"/>
        <w:spacing w:before="60" w:after="240"/>
        <w:jc w:val="left"/>
        <w:rPr>
          <w:bdr w:val="single" w:sz="16" w:space="1" w:color="000000"/>
        </w:rPr>
      </w:pPr>
      <w:r>
        <w:rPr>
          <w:bdr w:val="single" w:sz="16" w:space="1" w:color="000000"/>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9_edei--DocumentType_c20251103__20"/>
      <w:bookmarkEnd w:id="2"/>
      <w:r>
        <w:rPr>
          <w:rFonts w:ascii="Times New Roman;Times;Serif" w:hAnsi="Times New Roman;Times;Serif"/>
          <w:b/>
          <w:i w:val="false"/>
          <w:caps w:val="false"/>
          <w:smallCaps w:val="false"/>
          <w:sz w:val="28"/>
        </w:rPr>
        <w:t>8-K</w:t>
      </w:r>
    </w:p>
    <w:p>
      <w:pPr>
        <w:pStyle w:val="TextBody"/>
        <w:bidi w:val="0"/>
        <w:jc w:val="center"/>
        <w:rPr>
          <w:rFonts w:ascii="Times New Roman;Times;Serif" w:hAnsi="Times New Roman;Times;Serif"/>
          <w:b/>
          <w:i w:val="false"/>
          <w:caps w:val="false"/>
          <w:smallCaps w:val="false"/>
          <w:sz w:val="12"/>
        </w:rPr>
      </w:pPr>
      <w:r>
        <w:rPr>
          <w:rFonts w:ascii="Times New Roman;Times;Serif" w:hAnsi="Times New Roman;Times;Serif"/>
          <w:b/>
          <w:i w:val="false"/>
          <w:caps w:val="false"/>
          <w:smallCaps w:val="false"/>
          <w:sz w:val="12"/>
        </w:rPr>
        <w:t>__________________________________________________________</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November 3, 2025</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bookmarkStart w:id="4" w:name="xdx_900_edei--EntityRegistrantName_c2025"/>
      <w:bookmarkEnd w:id="4"/>
      <w:r>
        <w:rPr>
          <w:rFonts w:ascii="Times New Roman;Times;Serif" w:hAnsi="Times New Roman;Times;Serif"/>
          <w:b/>
          <w:i w:val="false"/>
          <w:caps w:val="false"/>
          <w:smallCaps w:val="false"/>
          <w:sz w:val="32"/>
        </w:rPr>
        <w:t xml:space="preserve">THE ONCOLOGY INSTITUTE, INC.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w:t>
      </w:r>
    </w:p>
    <w:p>
      <w:pPr>
        <w:pStyle w:val="TextBody"/>
        <w:bidi w:val="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b/>
                <w:sz w:val="20"/>
              </w:rPr>
            </w:pPr>
            <w:bookmarkStart w:id="5" w:name="xdx_90F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E_edei--EntityFileNumber_c20251103"/>
            <w:bookmarkEnd w:id="6"/>
            <w:r>
              <w:rPr>
                <w:b/>
                <w:sz w:val="20"/>
              </w:rPr>
              <w:t>001-39248</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C_edei--EntityTaxIdentificationNum"/>
            <w:bookmarkEnd w:id="7"/>
            <w:r>
              <w:rPr>
                <w:b/>
                <w:sz w:val="20"/>
              </w:rPr>
              <w:t>84-3562323</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jc w:val="center"/>
        <w:rPr>
          <w:caps w:val="false"/>
          <w:smallCaps w:val="false"/>
        </w:rPr>
      </w:pPr>
      <w:r>
        <w:rPr>
          <w:caps w:val="false"/>
          <w:smallCaps w:val="false"/>
        </w:rPr>
        <w:t> </w:t>
      </w:r>
    </w:p>
    <w:tbl>
      <w:tblPr>
        <w:tblW w:w="5110" w:type="dxa"/>
        <w:jc w:val="left"/>
        <w:tblInd w:w="0" w:type="dxa"/>
        <w:tblLayout w:type="fixed"/>
        <w:tblCellMar>
          <w:top w:w="0" w:type="dxa"/>
          <w:left w:w="0" w:type="dxa"/>
          <w:bottom w:w="28" w:type="dxa"/>
          <w:right w:w="0" w:type="dxa"/>
        </w:tblCellMar>
      </w:tblPr>
      <w:tblGrid>
        <w:gridCol w:w="4130"/>
        <w:gridCol w:w="60"/>
        <w:gridCol w:w="920"/>
      </w:tblGrid>
      <w:tr>
        <w:trPr/>
        <w:tc>
          <w:tcPr>
            <w:tcW w:w="4130" w:type="dxa"/>
            <w:tcBorders>
              <w:bottom w:val="single" w:sz="12" w:space="0" w:color="000000"/>
            </w:tcBorders>
            <w:vAlign w:val="center"/>
          </w:tcPr>
          <w:p>
            <w:pPr>
              <w:pStyle w:val="TableContents"/>
              <w:bidi w:val="0"/>
              <w:spacing w:before="0" w:after="283"/>
              <w:jc w:val="center"/>
              <w:rPr>
                <w:b/>
                <w:sz w:val="20"/>
              </w:rPr>
            </w:pPr>
            <w:bookmarkStart w:id="8" w:name="xdx_908_edei--EntityAddressAddressLine1_"/>
            <w:bookmarkEnd w:id="8"/>
            <w:r>
              <w:rPr>
                <w:b/>
                <w:sz w:val="20"/>
              </w:rPr>
              <w:t xml:space="preserve">18000 Studebaker Road, </w:t>
            </w:r>
            <w:bookmarkStart w:id="9" w:name="xdx_903_edei--EntityAddressAddressLine2_"/>
            <w:bookmarkEnd w:id="9"/>
            <w:r>
              <w:rPr>
                <w:b/>
                <w:sz w:val="20"/>
              </w:rPr>
              <w:t xml:space="preserve">Suite 800, </w:t>
            </w:r>
            <w:bookmarkStart w:id="10" w:name="xdx_902_edei--EntityAddressCityOrTown_c2"/>
            <w:bookmarkEnd w:id="10"/>
            <w:r>
              <w:rPr>
                <w:b/>
                <w:sz w:val="20"/>
              </w:rPr>
              <w:t xml:space="preserve">Cerritos, </w:t>
            </w:r>
            <w:bookmarkStart w:id="11" w:name="xdx_90E_edei--EntityAddressStateOrProvin"/>
            <w:bookmarkEnd w:id="11"/>
            <w:r>
              <w:rPr>
                <w:b/>
                <w:sz w:val="20"/>
              </w:rPr>
              <w:t xml:space="preserve">CA </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2" w:name="xdx_904_edei--EntityAddressPostalZipCode"/>
            <w:bookmarkEnd w:id="12"/>
            <w:r>
              <w:rPr>
                <w:b/>
                <w:sz w:val="20"/>
              </w:rPr>
              <w:t>90703</w:t>
            </w:r>
          </w:p>
        </w:tc>
      </w:tr>
      <w:tr>
        <w:trPr/>
        <w:tc>
          <w:tcPr>
            <w:tcW w:w="413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D_edei--CityAreaCode_c20251103__20"/>
      <w:bookmarkEnd w:id="13"/>
      <w:r>
        <w:rPr>
          <w:rFonts w:ascii="Times New Roman;Times;Serif" w:hAnsi="Times New Roman;Times;Serif"/>
          <w:b/>
          <w:i w:val="false"/>
          <w:caps w:val="false"/>
          <w:smallCaps w:val="false"/>
          <w:sz w:val="20"/>
          <w:shd w:fill="FFFFFF" w:val="clear"/>
        </w:rPr>
        <w:t xml:space="preserve">(562) </w:t>
      </w:r>
      <w:bookmarkStart w:id="14" w:name="xdx_903_edei--LocalPhoneNumber_c20251103"/>
      <w:bookmarkEnd w:id="14"/>
      <w:r>
        <w:rPr>
          <w:rFonts w:ascii="Times New Roman;Times;Serif" w:hAnsi="Times New Roman;Times;Serif"/>
          <w:b/>
          <w:i w:val="false"/>
          <w:caps w:val="false"/>
          <w:smallCaps w:val="false"/>
          <w:sz w:val="20"/>
          <w:shd w:fill="FFFFFF" w:val="clear"/>
        </w:rPr>
        <w:t>735-3226</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jc w:val="both"/>
        <w:rPr>
          <w:caps w:val="false"/>
          <w:smallCaps w:val="false"/>
        </w:rPr>
      </w:pPr>
      <w:r>
        <w:rPr>
          <w:caps w:val="false"/>
          <w:smallCaps w:val="false"/>
        </w:rPr>
        <w:t> </w:t>
      </w:r>
    </w:p>
    <w:p>
      <w:pPr>
        <w:pStyle w:val="TextBody"/>
        <w:bidi w:val="0"/>
        <w:jc w:val="left"/>
        <w:rPr>
          <w:caps w:val="false"/>
          <w:smallCaps w:val="false"/>
        </w:rPr>
      </w:pPr>
      <w:bookmarkStart w:id="15" w:name="xdx_904_edei--WrittenCommunications_c202"/>
      <w:bookmarkEnd w:id="15"/>
      <w:r>
        <w:rPr>
          <w:caps w:val="false"/>
          <w:smallCaps w:val="false"/>
        </w:rPr>
        <w:t xml:space="preserve">☐ </w:t>
      </w:r>
      <w:r>
        <w:rPr>
          <w:rFonts w:ascii="Times New Roman;Times;Serif" w:hAnsi="Times New Roman;Times;Serif"/>
          <w:b w:val="false"/>
          <w:i w:val="false"/>
          <w:caps w:val="false"/>
          <w:smallCaps w:val="false"/>
          <w:sz w:val="20"/>
        </w:rPr>
        <w:t>Written communication pursuant to Rule 425 under the Securities Act (17 CFR 230.425)</w:t>
      </w:r>
    </w:p>
    <w:p>
      <w:pPr>
        <w:pStyle w:val="TextBody"/>
        <w:bidi w:val="0"/>
        <w:jc w:val="left"/>
        <w:rPr>
          <w:caps w:val="false"/>
          <w:smallCaps w:val="false"/>
        </w:rPr>
      </w:pPr>
      <w:bookmarkStart w:id="16" w:name="xdx_90B_edei--SolicitingMaterial_c202511"/>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jc w:val="left"/>
        <w:rPr>
          <w:caps w:val="false"/>
          <w:smallCaps w:val="false"/>
        </w:rPr>
      </w:pPr>
      <w:bookmarkStart w:id="17" w:name="xdx_901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 pursuant to Rule 14d-2(b) under the Exchange Act (17 CFR 240.14d-2(b))</w:t>
      </w:r>
    </w:p>
    <w:p>
      <w:pPr>
        <w:pStyle w:val="TextBody"/>
        <w:bidi w:val="0"/>
        <w:jc w:val="left"/>
        <w:rPr>
          <w:caps w:val="false"/>
          <w:smallCaps w:val="false"/>
        </w:rPr>
      </w:pPr>
      <w:bookmarkStart w:id="18" w:name="xdx_90E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 pursuant to Rule 13e-4(c) under the Exchange Act (17 CFR 240.13e-4(c))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98"/>
        <w:gridCol w:w="60"/>
        <w:gridCol w:w="1219"/>
        <w:gridCol w:w="60"/>
        <w:gridCol w:w="2468"/>
      </w:tblGrid>
      <w:tr>
        <w:trPr/>
        <w:tc>
          <w:tcPr>
            <w:tcW w:w="6398"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219"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468"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6398" w:type="dxa"/>
            <w:tcBorders/>
            <w:shd w:fill="CCEEFF" w:val="clear"/>
            <w:tcMar>
              <w:bottom w:w="0" w:type="dxa"/>
            </w:tcMar>
            <w:vAlign w:val="center"/>
          </w:tcPr>
          <w:p>
            <w:pPr>
              <w:pStyle w:val="TableContents"/>
              <w:bidi w:val="0"/>
              <w:spacing w:before="0" w:after="283"/>
              <w:jc w:val="center"/>
              <w:rPr>
                <w:sz w:val="20"/>
              </w:rPr>
            </w:pPr>
            <w:bookmarkStart w:id="19" w:name="xdx_904_edei--Security12bTitle_c20251103"/>
            <w:bookmarkEnd w:id="19"/>
            <w:r>
              <w:rPr>
                <w:sz w:val="20"/>
              </w:rPr>
              <w:t>Common stock, par value $0.0001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9" w:type="dxa"/>
            <w:tcBorders/>
            <w:shd w:fill="CCEEFF" w:val="clear"/>
            <w:tcMar>
              <w:bottom w:w="0" w:type="dxa"/>
            </w:tcMar>
            <w:vAlign w:val="center"/>
          </w:tcPr>
          <w:p>
            <w:pPr>
              <w:pStyle w:val="TableContents"/>
              <w:bidi w:val="0"/>
              <w:spacing w:before="0" w:after="283"/>
              <w:jc w:val="center"/>
              <w:rPr>
                <w:sz w:val="20"/>
              </w:rPr>
            </w:pPr>
            <w:bookmarkStart w:id="20" w:name="xdx_90F_edei--TradingSymbol_c20251103__2"/>
            <w:bookmarkEnd w:id="20"/>
            <w:r>
              <w:rPr>
                <w:sz w:val="20"/>
              </w:rPr>
              <w:t>TOI</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8" w:type="dxa"/>
            <w:tcBorders/>
            <w:shd w:fill="CCEEFF" w:val="clear"/>
            <w:tcMar>
              <w:bottom w:w="0" w:type="dxa"/>
            </w:tcMar>
            <w:vAlign w:val="center"/>
          </w:tcPr>
          <w:p>
            <w:pPr>
              <w:pStyle w:val="TableContents"/>
              <w:bidi w:val="0"/>
              <w:spacing w:before="0" w:after="283"/>
              <w:jc w:val="center"/>
              <w:rPr>
                <w:sz w:val="20"/>
              </w:rPr>
            </w:pPr>
            <w:bookmarkStart w:id="21" w:name="xdx_906_edei--SecurityExchangeName_c2025"/>
            <w:bookmarkEnd w:id="21"/>
            <w:r>
              <w:rPr>
                <w:sz w:val="20"/>
              </w:rPr>
              <w:t>The Nasdaq Stock Market LLC</w:t>
            </w:r>
          </w:p>
        </w:tc>
      </w:tr>
      <w:tr>
        <w:trPr/>
        <w:tc>
          <w:tcPr>
            <w:tcW w:w="6398" w:type="dxa"/>
            <w:tcBorders/>
            <w:shd w:fill="FFFFFF" w:val="clear"/>
            <w:tcMar>
              <w:bottom w:w="0" w:type="dxa"/>
            </w:tcMar>
            <w:vAlign w:val="center"/>
          </w:tcPr>
          <w:p>
            <w:pPr>
              <w:pStyle w:val="TableContents"/>
              <w:bidi w:val="0"/>
              <w:spacing w:before="0" w:after="283"/>
              <w:jc w:val="center"/>
              <w:rPr>
                <w:sz w:val="20"/>
              </w:rPr>
            </w:pPr>
            <w:bookmarkStart w:id="22" w:name="xdx_906_edei--Security12bTitle_c20251103"/>
            <w:bookmarkEnd w:id="22"/>
            <w:r>
              <w:rPr>
                <w:sz w:val="20"/>
              </w:rPr>
              <w:t xml:space="preserve">Redeemable warrants, each whole warrant exercisable for one share of Common stock, each at an exercise price of $11.50 per share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9" w:type="dxa"/>
            <w:tcBorders/>
            <w:shd w:fill="FFFFFF" w:val="clear"/>
            <w:tcMar>
              <w:bottom w:w="0" w:type="dxa"/>
            </w:tcMar>
            <w:vAlign w:val="center"/>
          </w:tcPr>
          <w:p>
            <w:pPr>
              <w:pStyle w:val="TableContents"/>
              <w:bidi w:val="0"/>
              <w:spacing w:before="0" w:after="283"/>
              <w:jc w:val="center"/>
              <w:rPr>
                <w:sz w:val="20"/>
              </w:rPr>
            </w:pPr>
            <w:bookmarkStart w:id="23" w:name="xdx_907_edei--TradingSymbol_c20251103__2"/>
            <w:bookmarkEnd w:id="23"/>
            <w:r>
              <w:rPr>
                <w:sz w:val="20"/>
              </w:rPr>
              <w:t>TOIIW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8" w:type="dxa"/>
            <w:tcBorders/>
            <w:shd w:fill="FFFFFF" w:val="clear"/>
            <w:tcMar>
              <w:bottom w:w="0" w:type="dxa"/>
            </w:tcMar>
            <w:vAlign w:val="center"/>
          </w:tcPr>
          <w:p>
            <w:pPr>
              <w:pStyle w:val="TableContents"/>
              <w:bidi w:val="0"/>
              <w:spacing w:before="0" w:after="283"/>
              <w:jc w:val="center"/>
              <w:rPr>
                <w:sz w:val="20"/>
              </w:rPr>
            </w:pPr>
            <w:bookmarkStart w:id="24" w:name="xdx_90C_edei--SecurityExchangeName_c2025"/>
            <w:bookmarkEnd w:id="24"/>
            <w:r>
              <w:rPr>
                <w:sz w:val="20"/>
              </w:rPr>
              <w:t>The Nasdaq Stock Market LLC</w:t>
            </w:r>
          </w:p>
        </w:tc>
      </w:tr>
    </w:tbl>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jc w:val="both"/>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D_edei--EntityEmergingGrowthCompan"/>
      <w:bookmarkEnd w:id="25"/>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A_edei--EntityExTransitionPeriod_c"/>
      <w:bookmarkEnd w:id="26"/>
      <w:r>
        <w:rPr>
          <w:rFonts w:ascii="Times New Roman;Times;Serif" w:hAnsi="Times New Roman;Times;Serif"/>
          <w:b w:val="false"/>
          <w:i w:val="false"/>
          <w:caps w:val="false"/>
          <w:smallCaps w:val="false"/>
          <w:sz w:val="20"/>
        </w:rPr>
        <w: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3, 2025, The Oncology Institute, Inc. (the “Company”) determined that a cybersecurity incident affecting an information technology software provider would potentially delay fee-for-service collections. Based on the Company's current assessment, this incident is expected to result in a brief immaterial delay in the collection of some claims in the Company's fee-for-service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 software provider has not indicated to the Company that there is any evidence that any patient personal information was compromised as a result of this incident, and an investigation remains ongoing.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collaborating closely with the software provider to mitigate the effects and restore normal billing operations as quickly as possible.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7.01 is furnished and shall not be deemed to be “filed” for purposes of Section 18 of the Securities Exchange Act of 1934, as amended (the “Exchange Act”), or otherwise subject to the liabilities of that section, and such information shall not be deemed to be incorporated by reference into any of the Company’s filings under the Securities Act of 1933, as amended, or the Exchange Act. </w:t>
      </w:r>
    </w:p>
    <w:p>
      <w:pPr>
        <w:pStyle w:val="TextBody"/>
        <w:bidi w:val="0"/>
        <w:ind w:left="108" w:right="108" w:hanging="0"/>
        <w:jc w:val="both"/>
        <w:rPr>
          <w:caps w:val="false"/>
          <w:smallCaps w:val="false"/>
        </w:rPr>
      </w:pPr>
      <w:r>
        <w:rPr>
          <w:caps w:val="false"/>
          <w:smallCaps w:val="false"/>
        </w:rPr>
        <w:t> </w:t>
      </w:r>
    </w:p>
    <w:p>
      <w:pPr>
        <w:pStyle w:val="TextBody"/>
        <w:bidi w:val="0"/>
        <w:spacing w:before="0" w:after="240"/>
        <w:ind w:left="0" w:right="0" w:hanging="0"/>
        <w:jc w:val="both"/>
        <w:rPr>
          <w:b/>
          <w:sz w:val="20"/>
        </w:rPr>
      </w:pPr>
      <w:r>
        <w:rPr>
          <w:b/>
          <w:sz w:val="20"/>
        </w:rPr>
        <w:t>Item 9.01. Financial Statements and Exhibits.</w:t>
      </w:r>
    </w:p>
    <w:p>
      <w:pPr>
        <w:pStyle w:val="TextBody"/>
        <w:bidi w:val="0"/>
        <w:spacing w:before="0" w:after="240"/>
        <w:ind w:left="0" w:right="0" w:hanging="0"/>
        <w:jc w:val="both"/>
        <w:rPr/>
      </w:pPr>
      <w:r>
        <w:rPr>
          <w:b/>
          <w:sz w:val="20"/>
        </w:rPr>
        <w:t>(d) Exhibits</w:t>
      </w:r>
      <w:r>
        <w:rPr/>
        <w:t> </w:t>
      </w:r>
    </w:p>
    <w:tbl>
      <w:tblPr>
        <w:tblW w:w="7150" w:type="dxa"/>
        <w:jc w:val="left"/>
        <w:tblInd w:w="0" w:type="dxa"/>
        <w:tblLayout w:type="fixed"/>
        <w:tblCellMar>
          <w:top w:w="0" w:type="dxa"/>
          <w:left w:w="0" w:type="dxa"/>
          <w:bottom w:w="28" w:type="dxa"/>
          <w:right w:w="0" w:type="dxa"/>
        </w:tblCellMar>
      </w:tblPr>
      <w:tblGrid>
        <w:gridCol w:w="560"/>
        <w:gridCol w:w="60"/>
        <w:gridCol w:w="6530"/>
      </w:tblGrid>
      <w:tr>
        <w:trPr/>
        <w:tc>
          <w:tcPr>
            <w:tcW w:w="5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Exhibit</w:t>
              <w:br/>
              <w:t>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Description</w:t>
            </w:r>
          </w:p>
        </w:tc>
      </w:tr>
      <w:tr>
        <w:trPr/>
        <w:tc>
          <w:tcPr>
            <w:tcW w:w="560" w:type="dxa"/>
            <w:tcBorders/>
            <w:tcMar>
              <w:bottom w:w="0" w:type="dxa"/>
            </w:tcMar>
            <w:vAlign w:val="center"/>
          </w:tcPr>
          <w:p>
            <w:pPr>
              <w:pStyle w:val="TableContents"/>
              <w:bidi w:val="0"/>
              <w:spacing w:before="0" w:after="283"/>
              <w:jc w:val="left"/>
              <w:rPr/>
            </w:pPr>
            <w:r>
              <w:rPr/>
              <w:t> </w:t>
            </w:r>
          </w:p>
        </w:tc>
        <w:tc>
          <w:tcPr>
            <w:tcW w:w="6590" w:type="dxa"/>
            <w:gridSpan w:val="2"/>
            <w:tcBorders/>
            <w:tcMar>
              <w:bottom w:w="0" w:type="dxa"/>
            </w:tcMar>
            <w:vAlign w:val="center"/>
          </w:tcPr>
          <w:p>
            <w:pPr>
              <w:pStyle w:val="TableContents"/>
              <w:bidi w:val="0"/>
              <w:spacing w:before="0" w:after="283"/>
              <w:jc w:val="left"/>
              <w:rPr/>
            </w:pPr>
            <w:r>
              <w:rPr/>
              <w:t> </w:t>
            </w:r>
          </w:p>
        </w:tc>
      </w:tr>
      <w:tr>
        <w:trPr/>
        <w:tc>
          <w:tcPr>
            <w:tcW w:w="5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jc w:val="center"/>
        <w:rPr>
          <w:caps w:val="false"/>
          <w:smallCaps w:val="false"/>
        </w:rPr>
      </w:pPr>
      <w:r>
        <w:rPr>
          <w:caps w:val="false"/>
          <w:smallCaps w:val="false"/>
        </w:rPr>
        <w:t> </w:t>
      </w:r>
      <w:r>
        <w:rPr>
          <w:rFonts w:ascii="Times New Roman;Times;Serif" w:hAnsi="Times New Roman;Times;Serif"/>
          <w:b/>
          <w:i w:val="false"/>
          <w:caps w:val="false"/>
          <w:smallCaps w:val="false"/>
          <w:sz w:val="20"/>
        </w:rPr>
        <w:t>SIGNATURE</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tbl>
      <w:tblPr>
        <w:tblW w:w="6534" w:type="dxa"/>
        <w:jc w:val="left"/>
        <w:tblInd w:w="0" w:type="dxa"/>
        <w:tblLayout w:type="fixed"/>
        <w:tblCellMar>
          <w:top w:w="0" w:type="dxa"/>
          <w:left w:w="0" w:type="dxa"/>
          <w:bottom w:w="0" w:type="dxa"/>
          <w:right w:w="0" w:type="dxa"/>
        </w:tblCellMar>
      </w:tblPr>
      <w:tblGrid>
        <w:gridCol w:w="2495"/>
        <w:gridCol w:w="989"/>
        <w:gridCol w:w="3050"/>
      </w:tblGrid>
      <w:tr>
        <w:trPr/>
        <w:tc>
          <w:tcPr>
            <w:tcW w:w="2495" w:type="dxa"/>
            <w:tcBorders/>
            <w:vAlign w:val="center"/>
          </w:tcPr>
          <w:p>
            <w:pPr>
              <w:pStyle w:val="TableContents"/>
              <w:bidi w:val="0"/>
              <w:spacing w:before="0" w:after="283"/>
              <w:jc w:val="left"/>
              <w:rPr/>
            </w:pPr>
            <w:r>
              <w:rPr/>
              <w:t>Dated: November 6, 2025</w:t>
            </w:r>
          </w:p>
        </w:tc>
        <w:tc>
          <w:tcPr>
            <w:tcW w:w="4039" w:type="dxa"/>
            <w:gridSpan w:val="2"/>
            <w:tcBorders/>
            <w:vAlign w:val="center"/>
          </w:tcPr>
          <w:p>
            <w:pPr>
              <w:pStyle w:val="TableContents"/>
              <w:bidi w:val="0"/>
              <w:spacing w:before="0" w:after="283"/>
              <w:jc w:val="left"/>
              <w:rPr>
                <w:b/>
              </w:rPr>
            </w:pPr>
            <w:r>
              <w:rPr>
                <w:b/>
              </w:rPr>
              <w:t>THE ONCOLOGY INSTITUTE, INC.</w:t>
            </w:r>
          </w:p>
        </w:tc>
      </w:tr>
      <w:tr>
        <w:trPr/>
        <w:tc>
          <w:tcPr>
            <w:tcW w:w="2495" w:type="dxa"/>
            <w:tcBorders/>
            <w:vAlign w:val="center"/>
          </w:tcPr>
          <w:p>
            <w:pPr>
              <w:pStyle w:val="TableContents"/>
              <w:bidi w:val="0"/>
              <w:spacing w:before="0" w:after="283"/>
              <w:jc w:val="left"/>
              <w:rPr/>
            </w:pPr>
            <w:r>
              <w:rPr/>
              <w:t> </w:t>
            </w:r>
          </w:p>
        </w:tc>
        <w:tc>
          <w:tcPr>
            <w:tcW w:w="4039" w:type="dxa"/>
            <w:gridSpan w:val="2"/>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left"/>
              <w:rPr/>
            </w:pPr>
            <w:r>
              <w:rPr/>
              <w:t>By:</w:t>
            </w:r>
          </w:p>
        </w:tc>
        <w:tc>
          <w:tcPr>
            <w:tcW w:w="3050" w:type="dxa"/>
            <w:tcBorders>
              <w:bottom w:val="single" w:sz="8" w:space="0" w:color="000000"/>
            </w:tcBorders>
            <w:tcMar>
              <w:bottom w:w="28" w:type="dxa"/>
            </w:tcMar>
            <w:vAlign w:val="center"/>
          </w:tcPr>
          <w:p>
            <w:pPr>
              <w:pStyle w:val="TableContents"/>
              <w:bidi w:val="0"/>
              <w:spacing w:before="0" w:after="283"/>
              <w:jc w:val="left"/>
              <w:rPr/>
            </w:pPr>
            <w:r>
              <w:rPr/>
              <w:t>/s/ Mark Hueppelsheuser</w:t>
            </w:r>
          </w:p>
        </w:tc>
      </w:tr>
      <w:tr>
        <w:trPr/>
        <w:tc>
          <w:tcPr>
            <w:tcW w:w="2495"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left"/>
              <w:rPr/>
            </w:pPr>
            <w:r>
              <w:rPr/>
              <w:t>Name:  </w:t>
            </w:r>
          </w:p>
        </w:tc>
        <w:tc>
          <w:tcPr>
            <w:tcW w:w="3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Hueppelsheuser</w:t>
            </w:r>
          </w:p>
        </w:tc>
      </w:tr>
      <w:tr>
        <w:trPr/>
        <w:tc>
          <w:tcPr>
            <w:tcW w:w="2495"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left"/>
              <w:rPr/>
            </w:pPr>
            <w:r>
              <w:rPr/>
              <w:t>Title:</w:t>
            </w:r>
          </w:p>
        </w:tc>
        <w:tc>
          <w:tcPr>
            <w:tcW w:w="3050" w:type="dxa"/>
            <w:tcBorders/>
            <w:vAlign w:val="center"/>
          </w:tcPr>
          <w:p>
            <w:pPr>
              <w:pStyle w:val="TableContents"/>
              <w:bidi w:val="0"/>
              <w:spacing w:before="0" w:after="283"/>
              <w:jc w:val="left"/>
              <w:rPr/>
            </w:pPr>
            <w:r>
              <w:rPr/>
              <w:t>General Counsel</w:t>
            </w:r>
          </w:p>
        </w:tc>
      </w:tr>
    </w:tbl>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12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590</Words>
  <Characters>3401</Characters>
  <CharactersWithSpaces>3987</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