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Oncology Institute,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(Name of Issuer)</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23343Q100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1300" w:right="8640" w:firstLine="4"/>
        <w:spacing w:after="0" w:line="226" w:lineRule="exact"/>
        <w:tabs>
          <w:tab w:leader="none" w:pos="155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13d-1(b)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13d-1(c)</w:t>
      </w:r>
    </w:p>
    <w:p>
      <w:pPr>
        <w:ind w:left="1600" w:hanging="296"/>
        <w:spacing w:after="0"/>
        <w:tabs>
          <w:tab w:leader="none" w:pos="16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t>CUSIP No. 23343Q100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922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4922520"/>
                    </a:xfrm>
                    <a:prstGeom prst="rect">
                      <a:avLst/>
                    </a:prstGeom>
                    <a:noFill/>
                  </pic:spPr>
                </pic:pic>
              </a:graphicData>
            </a:graphic>
          </wp:anchor>
        </w:drawing>
      </w:r>
    </w:p>
    <w:p>
      <w:pPr>
        <w:spacing w:after="0" w:line="7" w:lineRule="exact"/>
        <w:rPr>
          <w:sz w:val="20"/>
          <w:szCs w:val="20"/>
          <w:color w:val="auto"/>
        </w:rPr>
      </w:pPr>
    </w:p>
    <w:p>
      <w:pPr>
        <w:ind w:left="1680" w:right="7520" w:hanging="940"/>
        <w:spacing w:after="0" w:line="383" w:lineRule="auto"/>
        <w:tabs>
          <w:tab w:leader="none" w:pos="1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Richy Agajanian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27"/>
        </w:trPr>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960" w:type="dxa"/>
            <w:vAlign w:val="bottom"/>
            <w:tcBorders>
              <w:bottom w:val="single" w:sz="8" w:color="auto"/>
            </w:tcBorders>
            <w:gridSpan w:val="2"/>
          </w:tcPr>
          <w:p>
            <w:pPr>
              <w:jc w:val="right"/>
              <w:ind w:right="8430"/>
              <w:spacing w:after="0" w:line="207" w:lineRule="exact"/>
              <w:rPr>
                <w:sz w:val="20"/>
                <w:szCs w:val="20"/>
                <w:color w:val="auto"/>
              </w:rPr>
            </w:pPr>
            <w:r>
              <w:rPr>
                <w:rFonts w:ascii="Times New Roman" w:cs="Times New Roman" w:eastAsia="Times New Roman" w:hAnsi="Times New Roman"/>
                <w:sz w:val="18"/>
                <w:szCs w:val="18"/>
                <w:color w:val="auto"/>
                <w:w w:val="96"/>
              </w:rPr>
              <w:t xml:space="preserve">(b) </w:t>
            </w:r>
            <w:r>
              <w:rPr>
                <w:rFonts w:ascii="MS PGothic" w:cs="MS PGothic" w:eastAsia="MS PGothic" w:hAnsi="MS PGothic"/>
                <w:sz w:val="18"/>
                <w:szCs w:val="18"/>
                <w:color w:val="auto"/>
                <w:w w:val="96"/>
              </w:rPr>
              <w:t>☒</w:t>
            </w:r>
          </w:p>
        </w:tc>
        <w:tc>
          <w:tcPr>
            <w:tcW w:w="0" w:type="dxa"/>
            <w:vAlign w:val="bottom"/>
          </w:tcPr>
          <w:p>
            <w:pPr>
              <w:spacing w:after="0"/>
              <w:rPr>
                <w:sz w:val="1"/>
                <w:szCs w:val="1"/>
                <w:color w:val="auto"/>
              </w:rPr>
            </w:pPr>
          </w:p>
        </w:tc>
      </w:tr>
      <w:tr>
        <w:trPr>
          <w:trHeight w:val="209"/>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9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w:t>
            </w:r>
          </w:p>
        </w:tc>
        <w:tc>
          <w:tcPr>
            <w:tcW w:w="360" w:type="dxa"/>
            <w:vAlign w:val="bottom"/>
            <w:tcBorders>
              <w:right w:val="single" w:sz="8" w:color="auto"/>
            </w:tcBorders>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3,866,433</w:t>
            </w:r>
          </w:p>
        </w:tc>
        <w:tc>
          <w:tcPr>
            <w:tcW w:w="0" w:type="dxa"/>
            <w:vAlign w:val="bottom"/>
          </w:tcPr>
          <w:p>
            <w:pPr>
              <w:spacing w:after="0"/>
              <w:rPr>
                <w:sz w:val="1"/>
                <w:szCs w:val="1"/>
                <w:color w:val="auto"/>
              </w:rPr>
            </w:pPr>
          </w:p>
        </w:tc>
      </w:tr>
      <w:tr>
        <w:trPr>
          <w:trHeight w:val="191"/>
        </w:trPr>
        <w:tc>
          <w:tcPr>
            <w:tcW w:w="1660" w:type="dxa"/>
            <w:vAlign w:val="bottom"/>
            <w:vMerge w:val="continue"/>
          </w:tcPr>
          <w:p>
            <w:pPr>
              <w:spacing w:after="0"/>
              <w:rPr>
                <w:sz w:val="16"/>
                <w:szCs w:val="16"/>
                <w:color w:val="auto"/>
              </w:rPr>
            </w:pPr>
          </w:p>
        </w:tc>
        <w:tc>
          <w:tcPr>
            <w:tcW w:w="62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right w:val="single" w:sz="8" w:color="auto"/>
            </w:tcBorders>
          </w:tcPr>
          <w:p>
            <w:pPr>
              <w:spacing w:after="0"/>
              <w:rPr>
                <w:sz w:val="16"/>
                <w:szCs w:val="16"/>
                <w:color w:val="auto"/>
              </w:rPr>
            </w:pPr>
          </w:p>
        </w:tc>
        <w:tc>
          <w:tcPr>
            <w:tcW w:w="8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shares</w:t>
            </w:r>
          </w:p>
        </w:tc>
        <w:tc>
          <w:tcPr>
            <w:tcW w:w="6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253,436</w:t>
            </w:r>
          </w:p>
        </w:tc>
        <w:tc>
          <w:tcPr>
            <w:tcW w:w="0" w:type="dxa"/>
            <w:vAlign w:val="bottom"/>
          </w:tcPr>
          <w:p>
            <w:pPr>
              <w:spacing w:after="0"/>
              <w:rPr>
                <w:sz w:val="1"/>
                <w:szCs w:val="1"/>
                <w:color w:val="auto"/>
              </w:rPr>
            </w:pPr>
          </w:p>
        </w:tc>
      </w:tr>
      <w:tr>
        <w:trPr>
          <w:trHeight w:val="191"/>
        </w:trPr>
        <w:tc>
          <w:tcPr>
            <w:tcW w:w="1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62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360" w:type="dxa"/>
            <w:vAlign w:val="bottom"/>
            <w:tcBorders>
              <w:right w:val="single" w:sz="8" w:color="auto"/>
            </w:tcBorders>
          </w:tcPr>
          <w:p>
            <w:pPr>
              <w:spacing w:after="0"/>
              <w:rPr>
                <w:sz w:val="16"/>
                <w:szCs w:val="16"/>
                <w:color w:val="auto"/>
              </w:rPr>
            </w:pPr>
          </w:p>
        </w:tc>
        <w:tc>
          <w:tcPr>
            <w:tcW w:w="8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each</w:t>
            </w:r>
          </w:p>
        </w:tc>
        <w:tc>
          <w:tcPr>
            <w:tcW w:w="6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2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3,866,433</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right w:val="single" w:sz="8" w:color="auto"/>
            </w:tcBorders>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253,436</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4,119,869</w:t>
            </w: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5.7% (Based on 72,341,687 shares issued and outstanding as of November 4, 2022)</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w:t>
            </w:r>
          </w:p>
        </w:tc>
        <w:tc>
          <w:tcPr>
            <w:tcW w:w="36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6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15"/>
        </w:trPr>
        <w:tc>
          <w:tcPr>
            <w:tcW w:w="1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8"/>
          <w:szCs w:val="18"/>
          <w:color w:val="auto"/>
        </w:rPr>
        <w:t>CUSIP No. 23343Q100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49225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922520"/>
                    </a:xfrm>
                    <a:prstGeom prst="rect">
                      <a:avLst/>
                    </a:prstGeom>
                    <a:noFill/>
                  </pic:spPr>
                </pic:pic>
              </a:graphicData>
            </a:graphic>
          </wp:anchor>
        </w:drawing>
      </w:r>
    </w:p>
    <w:p>
      <w:pPr>
        <w:spacing w:after="0" w:line="7" w:lineRule="exact"/>
        <w:rPr>
          <w:sz w:val="20"/>
          <w:szCs w:val="20"/>
          <w:color w:val="auto"/>
        </w:rPr>
      </w:pPr>
    </w:p>
    <w:p>
      <w:pPr>
        <w:ind w:left="1680" w:right="7520" w:hanging="940"/>
        <w:spacing w:after="0" w:line="406" w:lineRule="auto"/>
        <w:tabs>
          <w:tab w:leader="none" w:pos="1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Names of reporting persons: Jimmy Holdings, Inc.</w:t>
      </w:r>
    </w:p>
    <w:tbl>
      <w:tblPr>
        <w:tblLayout w:type="fixed"/>
        <w:tblInd w:w="0" w:type="dxa"/>
        <w:tblCellMar>
          <w:top w:w="0" w:type="dxa"/>
          <w:left w:w="0" w:type="dxa"/>
          <w:bottom w:w="0" w:type="dxa"/>
          <w:right w:w="0" w:type="dxa"/>
        </w:tblCellMar>
      </w:tblP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27"/>
        </w:trPr>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8940" w:type="dxa"/>
            <w:vAlign w:val="bottom"/>
            <w:tcBorders>
              <w:bottom w:val="single" w:sz="8" w:color="auto"/>
            </w:tcBorders>
            <w:gridSpan w:val="2"/>
          </w:tcPr>
          <w:p>
            <w:pPr>
              <w:jc w:val="right"/>
              <w:ind w:right="837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9"/>
        </w:trPr>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9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228"/>
        </w:trPr>
        <w:tc>
          <w:tcPr>
            <w:tcW w:w="166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Borders>
              <w:right w:val="single" w:sz="8" w:color="auto"/>
            </w:tcBorders>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3,866,433</w:t>
            </w:r>
          </w:p>
        </w:tc>
        <w:tc>
          <w:tcPr>
            <w:tcW w:w="0" w:type="dxa"/>
            <w:vAlign w:val="bottom"/>
          </w:tcPr>
          <w:p>
            <w:pPr>
              <w:spacing w:after="0"/>
              <w:rPr>
                <w:sz w:val="1"/>
                <w:szCs w:val="1"/>
                <w:color w:val="auto"/>
              </w:rPr>
            </w:pPr>
          </w:p>
        </w:tc>
      </w:tr>
      <w:tr>
        <w:trPr>
          <w:trHeight w:val="191"/>
        </w:trPr>
        <w:tc>
          <w:tcPr>
            <w:tcW w:w="1660" w:type="dxa"/>
            <w:vAlign w:val="bottom"/>
            <w:vMerge w:val="continue"/>
          </w:tcPr>
          <w:p>
            <w:pPr>
              <w:spacing w:after="0"/>
              <w:rPr>
                <w:sz w:val="16"/>
                <w:szCs w:val="16"/>
                <w:color w:val="auto"/>
              </w:rPr>
            </w:pPr>
          </w:p>
        </w:tc>
        <w:tc>
          <w:tcPr>
            <w:tcW w:w="6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340" w:type="dxa"/>
            <w:vAlign w:val="bottom"/>
            <w:tcBorders>
              <w:right w:val="single" w:sz="8" w:color="auto"/>
            </w:tcBorders>
          </w:tcPr>
          <w:p>
            <w:pPr>
              <w:spacing w:after="0"/>
              <w:rPr>
                <w:sz w:val="16"/>
                <w:szCs w:val="16"/>
                <w:color w:val="auto"/>
              </w:rPr>
            </w:pPr>
          </w:p>
        </w:tc>
        <w:tc>
          <w:tcPr>
            <w:tcW w:w="8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shares</w:t>
            </w:r>
          </w:p>
        </w:tc>
        <w:tc>
          <w:tcPr>
            <w:tcW w:w="6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beneficially</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1"/>
        </w:trPr>
        <w:tc>
          <w:tcPr>
            <w:tcW w:w="1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6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(7)</w:t>
            </w:r>
          </w:p>
        </w:tc>
        <w:tc>
          <w:tcPr>
            <w:tcW w:w="340" w:type="dxa"/>
            <w:vAlign w:val="bottom"/>
            <w:tcBorders>
              <w:right w:val="single" w:sz="8" w:color="auto"/>
            </w:tcBorders>
          </w:tcPr>
          <w:p>
            <w:pPr>
              <w:spacing w:after="0"/>
              <w:rPr>
                <w:sz w:val="16"/>
                <w:szCs w:val="16"/>
                <w:color w:val="auto"/>
              </w:rPr>
            </w:pPr>
          </w:p>
        </w:tc>
        <w:tc>
          <w:tcPr>
            <w:tcW w:w="8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each</w:t>
            </w:r>
          </w:p>
        </w:tc>
        <w:tc>
          <w:tcPr>
            <w:tcW w:w="6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3,866,433</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Borders>
              <w:right w:val="single" w:sz="8" w:color="auto"/>
            </w:tcBorders>
          </w:tcPr>
          <w:p>
            <w:pPr>
              <w:spacing w:after="0"/>
              <w:rPr>
                <w:sz w:val="19"/>
                <w:szCs w:val="19"/>
                <w:color w:val="auto"/>
              </w:rPr>
            </w:pPr>
          </w:p>
        </w:tc>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3,866,433</w:t>
            </w: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5.3% (Based on 72,341,687 shares issued and outstanding as of November 4, 2022)</w:t>
            </w:r>
          </w:p>
        </w:tc>
        <w:tc>
          <w:tcPr>
            <w:tcW w:w="0" w:type="dxa"/>
            <w:vAlign w:val="bottom"/>
          </w:tcPr>
          <w:p>
            <w:pPr>
              <w:spacing w:after="0"/>
              <w:rPr>
                <w:sz w:val="1"/>
                <w:szCs w:val="1"/>
                <w:color w:val="auto"/>
              </w:rPr>
            </w:pPr>
          </w:p>
        </w:tc>
      </w:tr>
      <w:tr>
        <w:trPr>
          <w:trHeight w:val="228"/>
        </w:trPr>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9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0" w:type="dxa"/>
            <w:vAlign w:val="bottom"/>
          </w:tcPr>
          <w:p>
            <w:pPr>
              <w:spacing w:after="0"/>
              <w:rPr>
                <w:sz w:val="1"/>
                <w:szCs w:val="1"/>
                <w:color w:val="auto"/>
              </w:rPr>
            </w:pPr>
          </w:p>
        </w:tc>
      </w:tr>
      <w:tr>
        <w:trPr>
          <w:trHeight w:val="414"/>
        </w:trPr>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34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9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15"/>
        </w:trPr>
        <w:tc>
          <w:tcPr>
            <w:tcW w:w="16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Oncology Institute,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Address of issuer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18000 Studebaker Rd, Suite 800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Cerritos, California 90703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2(a) Name of person filing.</w:t>
      </w:r>
    </w:p>
    <w:p>
      <w:pPr>
        <w:spacing w:after="0" w:line="207"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Richy Agajanian, MD</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Jimmy Holdings,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2(b) Address or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office of Dr. Agajanian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175 Stephens Hill Road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Reed Point, MT 59069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business office of Jimmy Holdings, Inc. 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175 Stephens Hill Road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Reed Point, MT 59069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2(c) Citizenship or place of 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Agajanian is a United States citizen.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Jimmy Holdings, Inc. is a California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2(e) 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23343Q100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If this statement is filed pursuant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2022, Richy Agajanian, MD beneficially owns 4,119,869 shares of the Issuer’s Class A Common Stock, representing 5.7% of the class of securities based on 72,341,687 shares issued and outstanding as of November 4, 2022. Dr. Agajanian is the sole shareholder, President, and CEO of Jimmy Holdings, Inc., and indirectly holds 3,866,433 of these shares through his ownership of Jimmy Holdings, Inc. Dr. Agajanian is the trustee or co-trustee of three trusts, which trusts collectively hold all of the membership interests of Agajanian Holdings, LLC, which in turn holds the remaining 253,436 shares of Class A Common Stock of the Issuer with respect to which Dr. Agajanian and his co-trustee, if and as applicable, share voting and dispositive power as trustee(s). Dr. Agajanian disclaims beneficial ownership of said 253,436 shares, except to the extent of his pecuniary interest therein as a result of being a beneficiary of one or more of the trusts.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Number of shares as to which Richy Agajanian, MD has:</w:t>
      </w:r>
    </w:p>
    <w:p>
      <w:pPr>
        <w:spacing w:after="0" w:line="225" w:lineRule="exact"/>
        <w:rPr>
          <w:sz w:val="20"/>
          <w:szCs w:val="20"/>
          <w:color w:val="auto"/>
        </w:rPr>
      </w:pPr>
    </w:p>
    <w:p>
      <w:pPr>
        <w:ind w:left="380" w:hanging="210"/>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3,866,433</w:t>
      </w:r>
    </w:p>
    <w:p>
      <w:pPr>
        <w:spacing w:after="0" w:line="225"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253,436</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3,866,433</w:t>
      </w:r>
    </w:p>
    <w:p>
      <w:pPr>
        <w:spacing w:after="0" w:line="225" w:lineRule="exact"/>
        <w:rPr>
          <w:rFonts w:ascii="Times New Roman" w:cs="Times New Roman" w:eastAsia="Times New Roman" w:hAnsi="Times New Roman"/>
          <w:sz w:val="18"/>
          <w:szCs w:val="18"/>
          <w:color w:val="auto"/>
        </w:rPr>
      </w:pPr>
    </w:p>
    <w:p>
      <w:pPr>
        <w:ind w:right="6200" w:firstLine="170"/>
        <w:spacing w:after="0" w:line="500" w:lineRule="auto"/>
        <w:tabs>
          <w:tab w:leader="none" w:pos="46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253,436 Number of shares as to which Jimmy Holdings, Inc. has:</w:t>
      </w:r>
    </w:p>
    <w:p>
      <w:pPr>
        <w:spacing w:after="0" w:line="1" w:lineRule="exact"/>
        <w:rPr>
          <w:rFonts w:ascii="Times New Roman" w:cs="Times New Roman" w:eastAsia="Times New Roman" w:hAnsi="Times New Roman"/>
          <w:sz w:val="18"/>
          <w:szCs w:val="18"/>
          <w:color w:val="auto"/>
        </w:rPr>
      </w:pPr>
    </w:p>
    <w:p>
      <w:pPr>
        <w:ind w:left="380" w:hanging="210"/>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3,866,433</w:t>
      </w:r>
    </w:p>
    <w:p>
      <w:pPr>
        <w:spacing w:after="0" w:line="225" w:lineRule="exact"/>
        <w:rPr>
          <w:rFonts w:ascii="Times New Roman" w:cs="Times New Roman" w:eastAsia="Times New Roman" w:hAnsi="Times New Roman"/>
          <w:sz w:val="18"/>
          <w:szCs w:val="18"/>
          <w:color w:val="auto"/>
        </w:rPr>
      </w:pPr>
    </w:p>
    <w:p>
      <w:pPr>
        <w:ind w:left="440" w:hanging="270"/>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0</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3,866,433</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(iv) Shared power to dispose or to direct the disposition of: 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reporting persons disclaim beneficial ownership of the following securities and the following is included solely for informational purposes. “Business Combination” has the meaning ascribed to such term in the Issuer’s current report on Form 8-K filed with the Securities and Exchange Commission on November 18, 2021. The closing of the Business Combination occurred on November 12, 2021.</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reporting persons have the right to receive 731,345 shares of Class A Common Stock in connection with the Business Combination. These shares will be received (i) in the event the Issuer's stock price equals or exceeds (x) $12.50 per share for 20 trading days within any 30 consecutive trading days during the two-year period following the closing of the Business Combination, or (y) $15.00 per share for any 20 trading days within any 30 consecutive trading days during the three-year period following the closing of the Business Combination, or (ii) in the event of a qualifying change of control.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reporting persons have the right to receive 1,097,018 shares of Class A Common Stock in connection with the Business Combination. These shares will be received (i) in the event the Issuer's stock price equals or exceeds $15.00 per share for any 20 trading days within any 30 consecutive trading days during the three-year period following the closing of the Business Combination, or (ii) in the event of a qualifying change of control.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Agajanian’s spouse holds (i) options representing the right to purchase 869,000 shares of the Issuer’s Class A Common Stock, of which 534,785 are currently vested or will be vested in the next 60 days, (ii) 90,938 restricted shares of the Issuer’s Class A Common Stock subject to forfeiture and unvested until such time the Issuer's stock price reaches $12.50 per share for 20 trading days within any 30 consecutive trading days for the two-year period following the closing of the Business Combination, subject to continued employment at such time, and (iii) 136,407 restricted shares of the Issuer’s Class A Common Stock subject to forfeiture and unvested until such time the Issuer's stock price reaches $15.00 per share for 20 days within any 30 consecutive trading days for the three-year period following the closing of the Business Combination, subject to continued employment at such time. Dr. Agajanian has no investment or voting authority with respect to securities held by his spouse and disclaims beneficial ownership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5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Signature. </w:t>
      </w: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correct.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10, 2023</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Richy Agajanian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2571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Richy Agajanian</w:t>
      </w:r>
    </w:p>
    <w:p>
      <w:pPr>
        <w:spacing w:after="0" w:line="200" w:lineRule="exact"/>
        <w:rPr>
          <w:sz w:val="20"/>
          <w:szCs w:val="20"/>
          <w:color w:val="auto"/>
        </w:rPr>
      </w:pPr>
    </w:p>
    <w:p>
      <w:pPr>
        <w:spacing w:after="0" w:line="23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Jimmy Holdings, Inc.</w:t>
      </w:r>
    </w:p>
    <w:p>
      <w:pPr>
        <w:spacing w:after="0" w:line="200" w:lineRule="exact"/>
        <w:rPr>
          <w:sz w:val="20"/>
          <w:szCs w:val="20"/>
          <w:color w:val="auto"/>
        </w:rPr>
      </w:pPr>
    </w:p>
    <w:p>
      <w:pPr>
        <w:spacing w:after="0" w:line="241"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Richy Agajanian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2571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Richy Agajanian</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2023-01-10T15:35:13Z</dcterms:created>
  <dcterms:modified xsi:type="dcterms:W3CDTF">2023-01-10T15:35:13Z</dcterms:modified>
</cp:coreProperties>
</file>