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10"/>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Current Report</w:t>
            </w:r>
          </w:p>
        </w:tc>
        <w:tc>
          <w:tcPr>
            <w:tcW w:w="360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360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3600" w:type="dxa"/>
            <w:vAlign w:val="bottom"/>
          </w:tcPr>
          <w:p>
            <w:pPr>
              <w:spacing w:after="0"/>
              <w:rPr>
                <w:sz w:val="20"/>
                <w:szCs w:val="20"/>
                <w:color w:val="auto"/>
              </w:rPr>
            </w:pPr>
          </w:p>
        </w:tc>
      </w:tr>
      <w:tr>
        <w:trPr>
          <w:trHeight w:val="414"/>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September 19, 2024</w:t>
            </w:r>
          </w:p>
        </w:tc>
        <w:tc>
          <w:tcPr>
            <w:tcW w:w="360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2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600" w:type="dxa"/>
            <w:vAlign w:val="bottom"/>
          </w:tcPr>
          <w:p>
            <w:pPr>
              <w:spacing w:after="0"/>
              <w:rPr>
                <w:sz w:val="20"/>
                <w:szCs w:val="20"/>
                <w:color w:val="auto"/>
              </w:rPr>
            </w:pPr>
          </w:p>
        </w:tc>
      </w:tr>
      <w:tr>
        <w:trPr>
          <w:trHeight w:val="392"/>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ONCOLOGY INSTITUTE, INC.</w:t>
            </w:r>
          </w:p>
        </w:tc>
        <w:tc>
          <w:tcPr>
            <w:tcW w:w="5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320" w:type="dxa"/>
            <w:vAlign w:val="bottom"/>
          </w:tcPr>
          <w:p>
            <w:pPr>
              <w:spacing w:after="0"/>
              <w:rPr>
                <w:sz w:val="20"/>
                <w:szCs w:val="20"/>
                <w:color w:val="auto"/>
              </w:rPr>
            </w:pPr>
          </w:p>
        </w:tc>
        <w:tc>
          <w:tcPr>
            <w:tcW w:w="4320" w:type="dxa"/>
            <w:vAlign w:val="bottom"/>
            <w:gridSpan w:val="8"/>
          </w:tcPr>
          <w:p>
            <w:pPr>
              <w:jc w:val="center"/>
              <w:ind w:left="1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52"/>
        </w:trPr>
        <w:tc>
          <w:tcPr>
            <w:tcW w:w="3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001-39248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84-3562323</w:t>
            </w:r>
          </w:p>
        </w:tc>
      </w:tr>
      <w:tr>
        <w:trPr>
          <w:trHeight w:val="198"/>
        </w:trPr>
        <w:tc>
          <w:tcPr>
            <w:tcW w:w="3320" w:type="dxa"/>
            <w:vAlign w:val="bottom"/>
            <w:tcBorders>
              <w:top w:val="single" w:sz="8" w:color="auto"/>
            </w:tcBorders>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4"/>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of incorporation)</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9"/>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18000 Studebaker Road, Suite 800, Cerritos, CA</w:t>
            </w:r>
          </w:p>
        </w:tc>
        <w:tc>
          <w:tcPr>
            <w:tcW w:w="360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234"/>
        </w:trPr>
        <w:tc>
          <w:tcPr>
            <w:tcW w:w="57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(562) 735-3226</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TOI</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Redeemable Warrants, each whole Warrant exercisable for one</w:t>
            </w:r>
          </w:p>
        </w:tc>
        <w:tc>
          <w:tcPr>
            <w:tcW w:w="2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TOIIW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 of Common Stock, each at an exercise price of $11.50 per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Chief Financial Officer</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19, 2024, Mihir Shah, the Chief Financial Officer, principal financial officer, and principal accounting officer of The Oncology Institute, Inc. (the “Company”), delivered a notice of resignation effective as of October 14, 2024. His departure is not related to the operations, policies or practices of the Company or any issues regarding accounting policies or practices. Following his resignation as an officer and employee of the Company, Mr. Shah will assist with the transition of his role and consult for the Company as an advisor pursuant to a consulting arrangement for an indefinite period at an agreed-upon hourly rate for his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new Chief Financial Officer</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20, 2024, the Company appointed Robert Carter to replace Mr. Shah as the Company’s Chief Financial Officer, with effect on October 14, 2024, and in such role, he will serve as the Company’s principal financial officer and principal accounting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Carter, aged 39, is currently the Company’s Senior Vice President, Finance.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over a decade of finance leadership experience in the healthcare sector, Mr. Carter is a seasoned executive dedicated to driving financial excellence and strategic growth. He joined The Oncology Institute in December 2021 as Vice President of Finance and was promoted to Senior Vice President in 2023. In this role, he has overseen corporate finance, financial planning and analysis (FP&amp;A), treasury and investor relations, playing a crucial role in shaping the Company’s financial strategy.</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Mr. Carter’s extensive background spans various healthcare sectors, including pharmaceutical finance, Medicare Advantage, Medi-Cal, and physician group practices.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Before joining the Company, Mr. Carter served as Head of FP&amp;A at Hoag Health System, a multi-specialty physician group practice and management services organization (MSO) from March 2020 to December 2021. Also, Mr. Carter previously served as the senior director of national pharmacy finance for Kaiser Permanente from May 2017 to March 2020. He also previously held several leadership positions in FP&amp;A at SCAN Health Plan and McKesson US Pharma, where he honed his skills in financial management and strategic planning.</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Mr. Carter earned his B.S. in finance from California State University, East Bay, and continues to leverage his expertise to foster innovation and growth in the healthcare finance landscape.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Terms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his promotion to Chief Financial Officer, the Company expects to enter into an employment agreement (the “Employment Agreement”) with Mr. Carter. Pursuant to the Employment Agreement, Mr. Carter’s initial annual base salary will be $375,000, and his target annual bonus will be 40% of his base salary, with his actual bonus to be determined under the Company’s applicable bonus plan. Mr. Carter will also receive an equity award with an aggregate value that has not yet been determined, which award is expected to be granted in the form of stock options and/or restricted stock units. The equity awards to Mr. Carter are expected to be granted on the Company’s next regular quarterly grant date and will be subject to the Company’s standard vesting schedules.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Employment Agreement will have a three-year initial term with additional one-year automatic extensions thereafter. In the event that Mr. Carter is terminated by us without “cause” or by the executive with “good reason” (each as defined in the employment agreement), then he will be eligible for salary continuation for 12 months and payments or reimbursements for the cost of COBRA premiums for the 12-month severance period, subject to execution of a general release of claims. Mr. Carter will be subject to certain post-employment obligations, including a post-employment non-solicitation of employees covenant, confidentiality obligations, and indefinite non-disparagement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ind w:right="680"/>
        <w:spacing w:after="0" w:line="312" w:lineRule="auto"/>
        <w:rPr>
          <w:sz w:val="20"/>
          <w:szCs w:val="20"/>
          <w:color w:val="auto"/>
        </w:rPr>
      </w:pPr>
      <w:r>
        <w:rPr>
          <w:rFonts w:ascii="Times New Roman" w:cs="Times New Roman" w:eastAsia="Times New Roman" w:hAnsi="Times New Roman"/>
          <w:sz w:val="17"/>
          <w:szCs w:val="17"/>
          <w:color w:val="auto"/>
        </w:rPr>
        <w:t>Mr. Carter has no family relationships with any director, executive officer, or person nominated or chosen by the Company to become a director or executive officer of the Company. Mr. Carter is not a party to any transaction required to be disclosed pursuant to Item 404(a) of Regulation S-K.</w:t>
      </w:r>
    </w:p>
    <w:p>
      <w:pPr>
        <w:spacing w:after="0" w:line="14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foregoing is a summary of the material terms of the Employment Agreement. The summary does not purport to be complete and is qualified in its entirety by reference to the Employment Agreement, which will be filed as an exhibit to the Company’s Quarterly Report on Form 10-Q for the fiscal quarter ending September 30, 2024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Carter has entered into the Company’s standard form of indemnification agreement.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On September 23, 2024, the Company issued a press release announcing Mr. Shah’s resignation and the appointment of Mr. Carter. The full text of the press release is attached as Exhibit 99.1 to this report and is hereby incorporated by reference herein.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under this Item 7.01 (including Exhibit 99.1)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0"/>
                <w:szCs w:val="20"/>
                <w:color w:val="auto"/>
              </w:rPr>
            </w:pPr>
          </w:p>
        </w:tc>
        <w:tc>
          <w:tcPr>
            <w:tcW w:w="9540" w:type="dxa"/>
            <w:vAlign w:val="bottom"/>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
        </w:trPr>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r>
      <w:tr>
        <w:trPr>
          <w:trHeight w:val="203"/>
        </w:trPr>
        <w:tc>
          <w:tcPr>
            <w:tcW w:w="13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issued by The Oncology Institute, Inc. on September 23, 2024</w:t>
            </w:r>
          </w:p>
        </w:tc>
        <w:tc>
          <w:tcPr>
            <w:tcW w:w="4040" w:type="dxa"/>
            <w:vAlign w:val="bottom"/>
            <w:tcBorders>
              <w:bottom w:val="single" w:sz="8" w:color="CCEEFF"/>
            </w:tcBorders>
            <w:shd w:val="clear" w:color="auto" w:fill="CCEEFF"/>
          </w:tcPr>
          <w:p>
            <w:pPr>
              <w:spacing w:after="0"/>
              <w:rPr>
                <w:sz w:val="17"/>
                <w:szCs w:val="17"/>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84"/>
        </w:trPr>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23, 2024</w:t>
      </w:r>
      <w:r>
        <w:rPr>
          <w:sz w:val="20"/>
          <w:szCs w:val="20"/>
          <w:color w:val="auto"/>
        </w:rPr>
        <w:tab/>
      </w:r>
      <w:r>
        <w:rPr>
          <w:rFonts w:ascii="Times New Roman" w:cs="Times New Roman" w:eastAsia="Times New Roman" w:hAnsi="Times New Roman"/>
          <w:sz w:val="17"/>
          <w:szCs w:val="17"/>
          <w:b w:val="1"/>
          <w:bCs w:val="1"/>
          <w:color w:val="auto"/>
        </w:rPr>
        <w:t>THE ONCOLOGY INSTITUTE, INC.</w:t>
      </w:r>
    </w:p>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/s/ Mark Hueppelsheuser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Hueppelsheuser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105410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1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The Oncology Institute Announces CFO Transition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 Carter promoted to Chief Financial Officer</w:t>
      </w:r>
    </w:p>
    <w:p>
      <w:pPr>
        <w:spacing w:after="0" w:line="1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CERRITOS, Calif., Sept. 23, 2024 (GLOBE NEWSWIRE) -- The Oncology Institute, Inc. (NASDAQ: TOI) (“TOI” or the “Company”), today announced that Chief Financial Officer, Mihir Shah, will transition out of the organization effective October 14, 2024, to pursue other opportunities. Rob Carter, Senior Vice President of Finance at TOI, will be promoted to Chief Financial Officer.</w:t>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Mr. Carter brings over a decade of finance leadership experience across several notable healthcare institutions. Mr. Carter joined TOI in 2021, and is responsible for corporate finance, FP&amp;A and investor relations. Prior to joining TOI, Mr. Carter oversaw financial planning and analysis at Hoag Health System. Prior to that, he served in various financial leadership roles at Kaiser Permanente, SCAN Health Plan, and McKesson.</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Dr. Daniel Virnich, Chief Executive Officer at TOI, commented, “I’m excited to announce the promotion of Rob to the role of Chief Financial Officer. He brings a wealth of experience in both oncology and large health systems, has been instrumental to our finance operations over the last several years, and is the right leader for the next phase of TOI’s growth.”</w:t>
      </w:r>
    </w:p>
    <w:p>
      <w:pPr>
        <w:spacing w:after="0" w:line="17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Dr. Virnich added, “I want to thank Mihir for his many contributions to TOI. Over the past two and a half years he has led us through our early years as a public company and significantly improved our capabilities around reporting, compliance, and analytics as well as a number of other critical capabilities in finance and accounting. On behalf of the whole team, we wish him the best in his future endeavors.”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Mr. Carter commented, “I’m honored by the opportunity to serve as the next CFO for The Oncology Institute. I believe we have an incredible amount of growth and innovation ahead of us, and I look forward to continue working closely with Dan and the rest of our leadership team to ensure we are delivering value to our patients and payor partners every day.”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The Oncology Institute</w:t>
      </w:r>
    </w:p>
    <w:p>
      <w:pPr>
        <w:spacing w:after="0" w:line="23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Founded in 2007, TOI is advancing oncology by delivering highly specialized, value-based cancer care in the community setting. TOI offers cutting-edge, evidence-based cancer care to a population of over 1.8 million patients including clinical trials, transfusions, and other services traditionally associated with the most advanced care delivery organizations. With nearly 126 employed clinicians and more than 700 teammates in over 70 clinic locations and growing, TOI is changing oncology for the better. For more information visit www.theoncologyinstitute.com.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Solebury Strategic Communications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investors@theoncologyinstitute.com</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2024-09-23T08:08:57Z</dcterms:created>
  <dcterms:modified xsi:type="dcterms:W3CDTF">2024-09-23T08:08:57Z</dcterms:modified>
</cp:coreProperties>
</file>