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For the transition period from _____ to _____</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Commission file number 001-39248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The Oncology Institute, Inc.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648"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Delaware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84-3562323</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2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18000 Studebaker Road, Suite 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90703</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Cerritos,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(562) 735-3226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512"/>
        <w:gridCol w:w="1961"/>
        <w:gridCol w:w="1985"/>
        <w:gridCol w:w="418"/>
        <w:gridCol w:w="418"/>
        <w:gridCol w:w="419"/>
        <w:gridCol w:w="728"/>
        <w:gridCol w:w="728"/>
        <w:gridCol w:w="1036"/>
      </w:tblGrid>
      <w:tr>
        <w:trPr/>
        <w:tc>
          <w:tcPr>
            <w:tcW w:w="251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64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4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64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TOI</w:t>
            </w:r>
          </w:p>
        </w:tc>
        <w:tc>
          <w:tcPr>
            <w:tcW w:w="24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4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Redeemable warrants, each whole warrant exercisable for one share of Common stock, each at an exercise price of $11.50 per share</w:t>
            </w:r>
          </w:p>
        </w:tc>
        <w:tc>
          <w:tcPr>
            <w:tcW w:w="12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TOIIW</w:t>
            </w:r>
          </w:p>
        </w:tc>
        <w:tc>
          <w:tcPr>
            <w:tcW w:w="249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0" w:after="16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 </w:t>
      </w:r>
    </w:p>
    <w:p>
      <w:pPr>
        <w:pStyle w:val="TextBody"/>
        <w:bidi w:val="0"/>
        <w:spacing w:lineRule="auto" w:line="288" w:before="0" w:after="160"/>
        <w:jc w:val="left"/>
        <w:rPr/>
      </w:pPr>
      <w:r>
        <w:rPr>
          <w:rFonts w:ascii="Times New Roman;serif" w:hAnsi="Times New Roman;serif"/>
          <w:b w:val="false"/>
          <w:color w:val="000000"/>
          <w:sz w:val="20"/>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53" w:after="3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40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53" w:after="3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40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53" w:after="30"/>
              <w:jc w:val="left"/>
              <w:rPr>
                <w:color w:val="000000"/>
              </w:rPr>
            </w:pPr>
            <w:r>
              <w:rPr>
                <w:color w:val="000000"/>
              </w:rPr>
              <w:t>☐</w:t>
            </w:r>
          </w:p>
        </w:tc>
      </w:tr>
    </w:tbl>
    <w:p>
      <w:pPr>
        <w:pStyle w:val="TextBody"/>
        <w:bidi w:val="0"/>
        <w:spacing w:lineRule="auto" w:line="288" w:before="0" w:after="120"/>
        <w:jc w:val="left"/>
        <w:rPr>
          <w:color w:val="000000"/>
        </w:rPr>
      </w:pPr>
      <w:r>
        <w:rPr>
          <w:color w:val="000000"/>
        </w:rPr>
        <w:t>                </w:t>
      </w:r>
    </w:p>
    <w:p>
      <w:pPr>
        <w:pStyle w:val="TextBody"/>
        <w:bidi w:val="0"/>
        <w:spacing w:lineRule="auto" w:line="288" w:before="0" w:after="1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60"/>
        <w:jc w:val="left"/>
        <w:rPr/>
      </w:pPr>
      <w:r>
        <w:rPr>
          <w:rFonts w:ascii="Times New Roman;serif" w:hAnsi="Times New Roman;serif"/>
          <w:b w:val="false"/>
          <w:color w:val="000000"/>
          <w:sz w:val="20"/>
        </w:rPr>
        <w:t>Indicate by check mark whether the registrant is a shell company (as defined in Rule 12b-2 of the Act).     Yes ☐   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of April 30, 2026, the registrant had 99,982,933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ONCOLOGY INSTITUTE,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Form 10-Q</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Period Ended March 31, 2026</w:t>
      </w:r>
    </w:p>
    <w:p>
      <w:pPr>
        <w:pStyle w:val="TextBody"/>
        <w:bidi w:val="0"/>
        <w:spacing w:before="0" w:after="0"/>
        <w:jc w:val="center"/>
        <w:rPr/>
      </w:pPr>
      <w:r>
        <w:rPr/>
      </w:r>
    </w:p>
    <w:p>
      <w:pPr>
        <w:pStyle w:val="TextBody"/>
        <w:bidi w:val="0"/>
        <w:spacing w:lineRule="auto" w:line="484"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3554"/>
        <w:gridCol w:w="3051"/>
        <w:gridCol w:w="3057"/>
        <w:gridCol w:w="158"/>
        <w:gridCol w:w="158"/>
        <w:gridCol w:w="227"/>
      </w:tblGrid>
      <w:tr>
        <w:trPr/>
        <w:tc>
          <w:tcPr>
            <w:tcW w:w="3554"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0"/>
              <w:jc w:val="left"/>
              <w:rPr/>
            </w:pPr>
            <w:hyperlink w:anchor="i38587a2f0ed542a68b274d1a0471b95c_10">
              <w:r>
                <w:rPr>
                  <w:rStyle w:val="InternetLink"/>
                  <w:rFonts w:ascii="Times New Roman;serif" w:hAnsi="Times New Roman;serif"/>
                  <w:b w:val="false"/>
                  <w:color w:val="0000EE"/>
                  <w:sz w:val="20"/>
                  <w:u w:val="single"/>
                </w:rPr>
                <w:t>Part I – Financial Information</w:t>
              </w:r>
            </w:hyperlink>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38587a2f0ed542a68b274d1a0471b95c_10">
              <w:r>
                <w:rPr>
                  <w:rStyle w:val="InternetLink"/>
                  <w:rFonts w:ascii="Times New Roman;serif" w:hAnsi="Times New Roman;serif"/>
                  <w:b w:val="false"/>
                  <w:color w:val="0000EE"/>
                  <w:sz w:val="20"/>
                  <w:u w:val="single"/>
                </w:rPr>
                <w:t>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38587a2f0ed542a68b274d1a0471b95c_13">
              <w:r>
                <w:rPr>
                  <w:rStyle w:val="InternetLink"/>
                  <w:rFonts w:ascii="Times New Roman;serif" w:hAnsi="Times New Roman;serif"/>
                  <w:b w:val="false"/>
                  <w:color w:val="0000EE"/>
                  <w:sz w:val="20"/>
                  <w:u w:val="single"/>
                </w:rPr>
                <w:t>Item 1. Financial Statements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13">
              <w:r>
                <w:rPr>
                  <w:rStyle w:val="InternetLink"/>
                  <w:rFonts w:ascii="Times New Roman;serif" w:hAnsi="Times New Roman;serif"/>
                  <w:b w:val="false"/>
                  <w:color w:val="0000EE"/>
                  <w:sz w:val="20"/>
                  <w:u w:val="single"/>
                </w:rPr>
                <w:t>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16">
              <w:r>
                <w:rPr>
                  <w:rStyle w:val="InternetLink"/>
                  <w:rFonts w:ascii="Times New Roman;serif" w:hAnsi="Times New Roman;serif"/>
                  <w:b w:val="false"/>
                  <w:color w:val="000080"/>
                  <w:sz w:val="20"/>
                  <w:u w:val="single"/>
                </w:rPr>
                <w:t xml:space="preserve">Condensed Consolidated Balance Sheets as of </w:t>
              </w:r>
            </w:hyperlink>
            <w:hyperlink w:anchor="i38587a2f0ed542a68b274d1a0471b95c_16">
              <w:r>
                <w:rPr>
                  <w:rStyle w:val="InternetLink"/>
                  <w:rFonts w:ascii="Times New Roman;serif" w:hAnsi="Times New Roman;serif"/>
                  <w:b w:val="false"/>
                  <w:color w:val="000080"/>
                  <w:sz w:val="20"/>
                  <w:u w:val="single"/>
                </w:rPr>
                <w:t>March 31</w:t>
              </w:r>
            </w:hyperlink>
            <w:hyperlink w:anchor="i38587a2f0ed542a68b274d1a0471b95c_16">
              <w:r>
                <w:rPr>
                  <w:rStyle w:val="InternetLink"/>
                  <w:rFonts w:ascii="Times New Roman;serif" w:hAnsi="Times New Roman;serif"/>
                  <w:b w:val="false"/>
                  <w:color w:val="000080"/>
                  <w:sz w:val="20"/>
                  <w:u w:val="single"/>
                </w:rPr>
                <w:t>, 202</w:t>
              </w:r>
            </w:hyperlink>
            <w:hyperlink w:anchor="i38587a2f0ed542a68b274d1a0471b95c_16">
              <w:r>
                <w:rPr>
                  <w:rStyle w:val="InternetLink"/>
                  <w:rFonts w:ascii="Times New Roman;serif" w:hAnsi="Times New Roman;serif"/>
                  <w:b w:val="false"/>
                  <w:color w:val="000080"/>
                  <w:sz w:val="20"/>
                  <w:u w:val="single"/>
                </w:rPr>
                <w:t>6</w:t>
              </w:r>
            </w:hyperlink>
            <w:hyperlink w:anchor="i38587a2f0ed542a68b274d1a0471b95c_16">
              <w:r>
                <w:rPr>
                  <w:rStyle w:val="InternetLink"/>
                  <w:rFonts w:ascii="Times New Roman;serif" w:hAnsi="Times New Roman;serif"/>
                  <w:b w:val="false"/>
                  <w:color w:val="000080"/>
                  <w:sz w:val="20"/>
                  <w:u w:val="single"/>
                </w:rPr>
                <w:t xml:space="preserve"> and December 31, 20</w:t>
              </w:r>
            </w:hyperlink>
            <w:hyperlink w:anchor="i38587a2f0ed542a68b274d1a0471b95c_16">
              <w:r>
                <w:rPr>
                  <w:rStyle w:val="InternetLink"/>
                  <w:rFonts w:ascii="Times New Roman;serif" w:hAnsi="Times New Roman;serif"/>
                  <w:b w:val="false"/>
                  <w:color w:val="000080"/>
                  <w:sz w:val="20"/>
                  <w:u w:val="single"/>
                </w:rPr>
                <w:t>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16">
              <w:r>
                <w:rPr>
                  <w:rStyle w:val="InternetLink"/>
                  <w:rFonts w:ascii="Times New Roman;serif" w:hAnsi="Times New Roman;serif"/>
                  <w:b w:val="false"/>
                  <w:color w:val="0000FF"/>
                  <w:sz w:val="20"/>
                  <w:u w:val="single"/>
                </w:rPr>
                <w:t>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19">
              <w:r>
                <w:rPr>
                  <w:rStyle w:val="InternetLink"/>
                  <w:rFonts w:ascii="Times New Roman;serif" w:hAnsi="Times New Roman;serif"/>
                  <w:b w:val="false"/>
                  <w:color w:val="000080"/>
                  <w:sz w:val="20"/>
                  <w:u w:val="single"/>
                </w:rPr>
                <w:t xml:space="preserve">Condensed Consolidated Statements of Operations for the Three </w:t>
              </w:r>
            </w:hyperlink>
            <w:hyperlink w:anchor="i38587a2f0ed542a68b274d1a0471b95c_19">
              <w:r>
                <w:rPr>
                  <w:rStyle w:val="InternetLink"/>
                  <w:rFonts w:ascii="Times New Roman;serif" w:hAnsi="Times New Roman;serif"/>
                  <w:b w:val="false"/>
                  <w:color w:val="000080"/>
                  <w:sz w:val="20"/>
                  <w:u w:val="single"/>
                </w:rPr>
                <w:t>Months End</w:t>
              </w:r>
            </w:hyperlink>
            <w:hyperlink w:anchor="i38587a2f0ed542a68b274d1a0471b95c_19">
              <w:r>
                <w:rPr>
                  <w:rStyle w:val="InternetLink"/>
                  <w:rFonts w:ascii="Times New Roman;serif" w:hAnsi="Times New Roman;serif"/>
                  <w:b w:val="false"/>
                  <w:color w:val="000080"/>
                  <w:sz w:val="20"/>
                  <w:u w:val="single"/>
                </w:rPr>
                <w:t>ed March 31, 2026 and 2025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19">
              <w:r>
                <w:rPr>
                  <w:rStyle w:val="InternetLink"/>
                  <w:rFonts w:ascii="Times New Roman;serif" w:hAnsi="Times New Roman;serif"/>
                  <w:b w:val="false"/>
                  <w:color w:val="0000FF"/>
                  <w:sz w:val="20"/>
                  <w:u w:val="single"/>
                </w:rPr>
                <w:t>6</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22">
              <w:r>
                <w:rPr>
                  <w:rStyle w:val="InternetLink"/>
                  <w:rFonts w:ascii="Times New Roman;serif" w:hAnsi="Times New Roman;serif"/>
                  <w:b w:val="false"/>
                  <w:color w:val="000080"/>
                  <w:sz w:val="20"/>
                  <w:u w:val="single"/>
                </w:rPr>
                <w:t>Condensed Consolidated Statements of Changes in Stockholders' Equity (Deficit) for the Three</w:t>
              </w:r>
            </w:hyperlink>
            <w:hyperlink w:anchor="i38587a2f0ed542a68b274d1a0471b95c_22">
              <w:r>
                <w:rPr>
                  <w:rStyle w:val="InternetLink"/>
                  <w:rFonts w:ascii="Times New Roman;serif" w:hAnsi="Times New Roman;serif"/>
                  <w:b w:val="false"/>
                  <w:color w:val="000080"/>
                  <w:sz w:val="20"/>
                  <w:u w:val="single"/>
                </w:rPr>
                <w:t xml:space="preserve"> Months Ended </w:t>
              </w:r>
            </w:hyperlink>
            <w:hyperlink w:anchor="i38587a2f0ed542a68b274d1a0471b95c_22">
              <w:r>
                <w:rPr>
                  <w:rStyle w:val="InternetLink"/>
                  <w:rFonts w:ascii="Times New Roman;serif" w:hAnsi="Times New Roman;serif"/>
                  <w:b w:val="false"/>
                  <w:color w:val="000080"/>
                  <w:sz w:val="20"/>
                  <w:u w:val="single"/>
                </w:rPr>
                <w:t>March 31, 202</w:t>
              </w:r>
            </w:hyperlink>
            <w:hyperlink w:anchor="i38587a2f0ed542a68b274d1a0471b95c_22">
              <w:r>
                <w:rPr>
                  <w:rStyle w:val="InternetLink"/>
                  <w:rFonts w:ascii="Times New Roman;serif" w:hAnsi="Times New Roman;serif"/>
                  <w:b w:val="false"/>
                  <w:color w:val="000080"/>
                  <w:sz w:val="20"/>
                  <w:u w:val="single"/>
                </w:rPr>
                <w:t>6</w:t>
              </w:r>
            </w:hyperlink>
            <w:hyperlink w:anchor="i38587a2f0ed542a68b274d1a0471b95c_22">
              <w:r>
                <w:rPr>
                  <w:rStyle w:val="InternetLink"/>
                  <w:rFonts w:ascii="Times New Roman;serif" w:hAnsi="Times New Roman;serif"/>
                  <w:b w:val="false"/>
                  <w:color w:val="000080"/>
                  <w:sz w:val="20"/>
                  <w:u w:val="single"/>
                </w:rPr>
                <w:t xml:space="preserve"> and 2025</w:t>
              </w:r>
            </w:hyperlink>
            <w:r>
              <w:rPr>
                <w:color w:val="000000"/>
              </w:rPr>
              <w:t xml:space="preserve"> </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22">
              <w:r>
                <w:rPr>
                  <w:rStyle w:val="InternetLink"/>
                  <w:rFonts w:ascii="Times New Roman;serif" w:hAnsi="Times New Roman;serif"/>
                  <w:b w:val="false"/>
                  <w:color w:val="0000FF"/>
                  <w:sz w:val="20"/>
                  <w:u w:val="single"/>
                </w:rPr>
                <w:t>7</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25">
              <w:r>
                <w:rPr>
                  <w:rStyle w:val="InternetLink"/>
                  <w:rFonts w:ascii="Times New Roman;serif" w:hAnsi="Times New Roman;serif"/>
                  <w:b w:val="false"/>
                  <w:color w:val="000080"/>
                  <w:sz w:val="20"/>
                  <w:u w:val="single"/>
                </w:rPr>
                <w:t xml:space="preserve">Condensed Consolidated Statements of Cash Flows for the </w:t>
              </w:r>
            </w:hyperlink>
            <w:hyperlink w:anchor="i38587a2f0ed542a68b274d1a0471b95c_25">
              <w:r>
                <w:rPr>
                  <w:rStyle w:val="InternetLink"/>
                  <w:rFonts w:ascii="Times New Roman;serif" w:hAnsi="Times New Roman;serif"/>
                  <w:b w:val="false"/>
                  <w:color w:val="000080"/>
                  <w:sz w:val="20"/>
                  <w:u w:val="single"/>
                </w:rPr>
                <w:t>Three</w:t>
              </w:r>
            </w:hyperlink>
            <w:hyperlink w:anchor="i38587a2f0ed542a68b274d1a0471b95c_25">
              <w:r>
                <w:rPr>
                  <w:rStyle w:val="InternetLink"/>
                  <w:rFonts w:ascii="Times New Roman;serif" w:hAnsi="Times New Roman;serif"/>
                  <w:b w:val="false"/>
                  <w:color w:val="000080"/>
                  <w:sz w:val="20"/>
                  <w:u w:val="single"/>
                </w:rPr>
                <w:t xml:space="preserve"> Months Ended </w:t>
              </w:r>
            </w:hyperlink>
            <w:hyperlink w:anchor="i38587a2f0ed542a68b274d1a0471b95c_25">
              <w:r>
                <w:rPr>
                  <w:rStyle w:val="InternetLink"/>
                  <w:rFonts w:ascii="Times New Roman;serif" w:hAnsi="Times New Roman;serif"/>
                  <w:b w:val="false"/>
                  <w:color w:val="000080"/>
                  <w:sz w:val="20"/>
                  <w:u w:val="single"/>
                </w:rPr>
                <w:t>March 31, 202</w:t>
              </w:r>
            </w:hyperlink>
            <w:hyperlink w:anchor="i38587a2f0ed542a68b274d1a0471b95c_25">
              <w:r>
                <w:rPr>
                  <w:rStyle w:val="InternetLink"/>
                  <w:rFonts w:ascii="Times New Roman;serif" w:hAnsi="Times New Roman;serif"/>
                  <w:b w:val="false"/>
                  <w:color w:val="000080"/>
                  <w:sz w:val="20"/>
                  <w:u w:val="single"/>
                </w:rPr>
                <w:t>6</w:t>
              </w:r>
            </w:hyperlink>
            <w:hyperlink w:anchor="i38587a2f0ed542a68b274d1a0471b95c_25">
              <w:r>
                <w:rPr>
                  <w:rStyle w:val="InternetLink"/>
                  <w:rFonts w:ascii="Times New Roman;serif" w:hAnsi="Times New Roman;serif"/>
                  <w:b w:val="false"/>
                  <w:color w:val="000080"/>
                  <w:sz w:val="20"/>
                  <w:u w:val="single"/>
                </w:rPr>
                <w:t xml:space="preserve"> a</w:t>
              </w:r>
            </w:hyperlink>
            <w:hyperlink w:anchor="i38587a2f0ed542a68b274d1a0471b95c_25">
              <w:r>
                <w:rPr>
                  <w:rStyle w:val="InternetLink"/>
                  <w:rFonts w:ascii="Times New Roman;serif" w:hAnsi="Times New Roman;serif"/>
                  <w:b w:val="false"/>
                  <w:color w:val="000080"/>
                  <w:sz w:val="20"/>
                  <w:u w:val="single"/>
                </w:rPr>
                <w:t>nd 2025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25">
              <w:r>
                <w:rPr>
                  <w:rStyle w:val="InternetLink"/>
                  <w:rFonts w:ascii="Times New Roman;serif" w:hAnsi="Times New Roman;serif"/>
                  <w:b w:val="false"/>
                  <w:color w:val="0000FF"/>
                  <w:sz w:val="20"/>
                  <w:u w:val="single"/>
                </w:rPr>
                <w:t>8</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28">
              <w:r>
                <w:rPr>
                  <w:rStyle w:val="InternetLink"/>
                  <w:rFonts w:ascii="Times New Roman;serif" w:hAnsi="Times New Roman;serif"/>
                  <w:b w:val="false"/>
                  <w:color w:val="0000FF"/>
                  <w:sz w:val="20"/>
                  <w:u w:val="single"/>
                </w:rPr>
                <w:t>Notes to Condensed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28">
              <w:r>
                <w:rPr>
                  <w:rStyle w:val="InternetLink"/>
                  <w:rFonts w:ascii="Times New Roman;serif" w:hAnsi="Times New Roman;serif"/>
                  <w:b w:val="false"/>
                  <w:color w:val="0000FF"/>
                  <w:sz w:val="20"/>
                  <w:u w:val="single"/>
                </w:rPr>
                <w:t>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38587a2f0ed542a68b274d1a0471b95c_94">
              <w:r>
                <w:rPr>
                  <w:rStyle w:val="InternetLink"/>
                  <w:rFonts w:ascii="Times New Roman;serif" w:hAnsi="Times New Roman;serif"/>
                  <w:b w:val="false"/>
                  <w:color w:val="0000EE"/>
                  <w:sz w:val="20"/>
                  <w:u w:val="single"/>
                </w:rPr>
                <w:t>Item 2. 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94">
              <w:r>
                <w:rPr>
                  <w:rStyle w:val="InternetLink"/>
                  <w:rFonts w:ascii="Times New Roman;serif" w:hAnsi="Times New Roman;serif"/>
                  <w:b w:val="false"/>
                  <w:color w:val="0000EE"/>
                  <w:sz w:val="20"/>
                  <w:u w:val="single"/>
                </w:rPr>
                <w:t>37</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38587a2f0ed542a68b274d1a0471b95c_127">
              <w:r>
                <w:rPr>
                  <w:rStyle w:val="InternetLink"/>
                  <w:rFonts w:ascii="Times New Roman;serif" w:hAnsi="Times New Roman;serif"/>
                  <w:b w:val="false"/>
                  <w:color w:val="0000EE"/>
                  <w:sz w:val="20"/>
                  <w:u w:val="single"/>
                </w:rPr>
                <w:t>Item 3. 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127">
              <w:r>
                <w:rPr>
                  <w:rStyle w:val="InternetLink"/>
                  <w:rFonts w:ascii="Times New Roman;serif" w:hAnsi="Times New Roman;serif"/>
                  <w:b w:val="false"/>
                  <w:color w:val="0000EE"/>
                  <w:sz w:val="20"/>
                  <w:u w:val="single"/>
                </w:rPr>
                <w:t>47</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38587a2f0ed542a68b274d1a0471b95c_130">
              <w:r>
                <w:rPr>
                  <w:rStyle w:val="InternetLink"/>
                  <w:rFonts w:ascii="Times New Roman;serif" w:hAnsi="Times New Roman;serif"/>
                  <w:b w:val="false"/>
                  <w:color w:val="0000EE"/>
                  <w:sz w:val="20"/>
                  <w:u w:val="single"/>
                </w:rPr>
                <w:t>Item 4. Controls and Procedures </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130">
              <w:r>
                <w:rPr>
                  <w:rStyle w:val="InternetLink"/>
                  <w:rFonts w:ascii="Times New Roman;serif" w:hAnsi="Times New Roman;serif"/>
                  <w:b w:val="false"/>
                  <w:color w:val="0000EE"/>
                  <w:sz w:val="20"/>
                  <w:u w:val="single"/>
                </w:rPr>
                <w:t>48</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0"/>
              <w:jc w:val="left"/>
              <w:rPr/>
            </w:pPr>
            <w:hyperlink w:anchor="i38587a2f0ed542a68b274d1a0471b95c_133">
              <w:r>
                <w:rPr>
                  <w:rStyle w:val="InternetLink"/>
                  <w:rFonts w:ascii="Times New Roman;serif" w:hAnsi="Times New Roman;serif"/>
                  <w:b w:val="false"/>
                  <w:color w:val="0000EE"/>
                  <w:sz w:val="20"/>
                  <w:u w:val="single"/>
                </w:rPr>
                <w:t>Part II – 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133">
              <w:r>
                <w:rPr>
                  <w:rStyle w:val="InternetLink"/>
                  <w:rFonts w:ascii="Times New Roman;serif" w:hAnsi="Times New Roman;serif"/>
                  <w:b w:val="false"/>
                  <w:color w:val="0000EE"/>
                  <w:sz w:val="20"/>
                  <w:u w:val="single"/>
                </w:rPr>
                <w:t>49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38587a2f0ed542a68b274d1a0471b95c_136">
              <w:r>
                <w:rPr>
                  <w:rStyle w:val="InternetLink"/>
                  <w:rFonts w:ascii="Times New Roman;serif" w:hAnsi="Times New Roman;serif"/>
                  <w:b w:val="false"/>
                  <w:color w:val="0000EE"/>
                  <w:sz w:val="20"/>
                  <w:u w:val="single"/>
                </w:rPr>
                <w:t>Item 1. 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139">
              <w:r>
                <w:rPr>
                  <w:rStyle w:val="InternetLink"/>
                  <w:rFonts w:ascii="Times New Roman;serif" w:hAnsi="Times New Roman;serif"/>
                  <w:b w:val="false"/>
                  <w:color w:val="0000EE"/>
                  <w:sz w:val="20"/>
                  <w:u w:val="single"/>
                </w:rPr>
                <w:t>49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38587a2f0ed542a68b274d1a0471b95c_139">
              <w:r>
                <w:rPr>
                  <w:rStyle w:val="InternetLink"/>
                  <w:rFonts w:ascii="Times New Roman;serif" w:hAnsi="Times New Roman;serif"/>
                  <w:b w:val="false"/>
                  <w:color w:val="0000EE"/>
                  <w:sz w:val="20"/>
                  <w:u w:val="single"/>
                </w:rPr>
                <w:t>Item 1A. 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142">
              <w:r>
                <w:rPr>
                  <w:rStyle w:val="InternetLink"/>
                  <w:rFonts w:ascii="Times New Roman;serif" w:hAnsi="Times New Roman;serif"/>
                  <w:b w:val="false"/>
                  <w:color w:val="0000EE"/>
                  <w:sz w:val="20"/>
                  <w:u w:val="single"/>
                </w:rPr>
                <w:t>49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38587a2f0ed542a68b274d1a0471b95c_142">
              <w:r>
                <w:rPr>
                  <w:rStyle w:val="InternetLink"/>
                  <w:rFonts w:ascii="Times New Roman;serif" w:hAnsi="Times New Roman;serif"/>
                  <w:b w:val="false"/>
                  <w:color w:val="0000EE"/>
                  <w:sz w:val="20"/>
                  <w:u w:val="single"/>
                </w:rPr>
                <w:t>Item 2. Unregistered Sales of Equity Securities and Use of Proceeds </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142">
              <w:r>
                <w:rPr>
                  <w:rStyle w:val="InternetLink"/>
                  <w:rFonts w:ascii="Times New Roman;serif" w:hAnsi="Times New Roman;serif"/>
                  <w:b w:val="false"/>
                  <w:color w:val="0000EE"/>
                  <w:sz w:val="20"/>
                  <w:u w:val="single"/>
                </w:rPr>
                <w:t>49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38587a2f0ed542a68b274d1a0471b95c_145">
              <w:r>
                <w:rPr>
                  <w:rStyle w:val="InternetLink"/>
                  <w:rFonts w:ascii="Times New Roman;serif" w:hAnsi="Times New Roman;serif"/>
                  <w:b w:val="false"/>
                  <w:color w:val="0000EE"/>
                  <w:sz w:val="20"/>
                  <w:u w:val="single"/>
                </w:rPr>
                <w:t>Item 3. Defaults Upon Senior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145">
              <w:r>
                <w:rPr>
                  <w:rStyle w:val="InternetLink"/>
                  <w:rFonts w:ascii="Times New Roman;serif" w:hAnsi="Times New Roman;serif"/>
                  <w:b w:val="false"/>
                  <w:color w:val="0000EE"/>
                  <w:sz w:val="20"/>
                  <w:u w:val="single"/>
                </w:rPr>
                <w:t>49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38587a2f0ed542a68b274d1a0471b95c_148">
              <w:r>
                <w:rPr>
                  <w:rStyle w:val="InternetLink"/>
                  <w:rFonts w:ascii="Times New Roman;serif" w:hAnsi="Times New Roman;serif"/>
                  <w:b w:val="false"/>
                  <w:color w:val="0000EE"/>
                  <w:sz w:val="20"/>
                  <w:u w:val="single"/>
                </w:rPr>
                <w:t>Item 4. Mine Safety Disclosures </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148">
              <w:r>
                <w:rPr>
                  <w:rStyle w:val="InternetLink"/>
                  <w:rFonts w:ascii="Times New Roman;serif" w:hAnsi="Times New Roman;serif"/>
                  <w:b w:val="false"/>
                  <w:color w:val="0000EE"/>
                  <w:sz w:val="20"/>
                  <w:u w:val="single"/>
                </w:rPr>
                <w:t>49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38587a2f0ed542a68b274d1a0471b95c_151">
              <w:r>
                <w:rPr>
                  <w:rStyle w:val="InternetLink"/>
                  <w:rFonts w:ascii="Times New Roman;serif" w:hAnsi="Times New Roman;serif"/>
                  <w:b w:val="false"/>
                  <w:color w:val="0000EE"/>
                  <w:sz w:val="20"/>
                  <w:u w:val="single"/>
                </w:rPr>
                <w:t>Item 5. 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151">
              <w:r>
                <w:rPr>
                  <w:rStyle w:val="InternetLink"/>
                  <w:rFonts w:ascii="Times New Roman;serif" w:hAnsi="Times New Roman;serif"/>
                  <w:b w:val="false"/>
                  <w:color w:val="0000EE"/>
                  <w:sz w:val="20"/>
                  <w:u w:val="single"/>
                </w:rPr>
                <w:t>49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38587a2f0ed542a68b274d1a0471b95c_157">
              <w:r>
                <w:rPr>
                  <w:rStyle w:val="InternetLink"/>
                  <w:rFonts w:ascii="Times New Roman;serif" w:hAnsi="Times New Roman;serif"/>
                  <w:b w:val="false"/>
                  <w:color w:val="0000EE"/>
                  <w:sz w:val="20"/>
                  <w:u w:val="single"/>
                </w:rPr>
                <w:t>Item 6. 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157">
              <w:r>
                <w:rPr>
                  <w:rStyle w:val="InternetLink"/>
                  <w:rFonts w:ascii="Times New Roman;serif" w:hAnsi="Times New Roman;serif"/>
                  <w:b w:val="false"/>
                  <w:color w:val="0000EE"/>
                  <w:sz w:val="20"/>
                  <w:u w:val="single"/>
                </w:rPr>
                <w:t>50</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0"/>
              <w:jc w:val="left"/>
              <w:rPr/>
            </w:pPr>
            <w:hyperlink w:anchor="i38587a2f0ed542a68b274d1a0471b95c_160">
              <w:r>
                <w:rPr>
                  <w:rStyle w:val="InternetLink"/>
                  <w:rFonts w:ascii="Times New Roman;serif" w:hAnsi="Times New Roman;serif"/>
                  <w:b w:val="false"/>
                  <w:color w:val="0000EE"/>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587a2f0ed542a68b274d1a0471b95c_160">
              <w:r>
                <w:rPr>
                  <w:rStyle w:val="InternetLink"/>
                  <w:rFonts w:ascii="Times New Roman;serif" w:hAnsi="Times New Roman;serif"/>
                  <w:b w:val="false"/>
                  <w:color w:val="0000EE"/>
                  <w:sz w:val="20"/>
                  <w:u w:val="single"/>
                </w:rPr>
                <w:t>52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647"/>
        <w:gridCol w:w="2179"/>
        <w:gridCol w:w="2118"/>
        <w:gridCol w:w="250"/>
        <w:gridCol w:w="979"/>
        <w:gridCol w:w="129"/>
        <w:gridCol w:w="129"/>
        <w:gridCol w:w="129"/>
        <w:gridCol w:w="129"/>
        <w:gridCol w:w="250"/>
        <w:gridCol w:w="979"/>
        <w:gridCol w:w="129"/>
        <w:gridCol w:w="158"/>
      </w:tblGrid>
      <w:tr>
        <w:trPr/>
        <w:tc>
          <w:tcPr>
            <w:tcW w:w="2647"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12"/>
            <w:tcBorders/>
            <w:tcMar>
              <w:top w:w="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erif" w:hAnsi="Times New Roman;serif"/>
                <w:b/>
                <w:color w:val="231F20"/>
                <w:sz w:val="20"/>
              </w:rPr>
            </w:pPr>
            <w:r>
              <w:rPr>
                <w:rFonts w:ascii="Times New Roman;serif" w:hAnsi="Times New Roman;serif"/>
                <w:b/>
                <w:color w:val="231F20"/>
                <w:sz w:val="20"/>
              </w:rPr>
              <w:t>THE ONCOLOGY INSTITUTE, INC.</w:t>
            </w:r>
          </w:p>
          <w:p>
            <w:pPr>
              <w:pStyle w:val="TableContents"/>
              <w:bidi w:val="0"/>
              <w:spacing w:lineRule="auto" w:line="288" w:before="0" w:after="9"/>
              <w:jc w:val="center"/>
              <w:rPr>
                <w:rFonts w:ascii="Times New Roman;serif" w:hAnsi="Times New Roman;serif"/>
                <w:b/>
                <w:color w:val="231F20"/>
                <w:sz w:val="20"/>
              </w:rPr>
            </w:pPr>
            <w:r>
              <w:rPr>
                <w:rFonts w:ascii="Times New Roman;serif" w:hAnsi="Times New Roman;serif"/>
                <w:b/>
                <w:color w:val="231F20"/>
                <w:sz w:val="20"/>
              </w:rPr>
              <w:t>CONDENSED CONSOLIDATED BALANCE SHEETS</w:t>
            </w:r>
          </w:p>
          <w:p>
            <w:pPr>
              <w:pStyle w:val="TableContents"/>
              <w:bidi w:val="0"/>
              <w:spacing w:lineRule="auto" w:line="288" w:before="0" w:after="9"/>
              <w:jc w:val="center"/>
              <w:rPr>
                <w:rFonts w:ascii="Times New Roman;serif" w:hAnsi="Times New Roman;serif"/>
                <w:b/>
                <w:color w:val="231F20"/>
                <w:sz w:val="20"/>
              </w:rPr>
            </w:pPr>
            <w:r>
              <w:rPr>
                <w:rFonts w:ascii="Times New Roman;serif" w:hAnsi="Times New Roman;serif"/>
                <w:b/>
                <w:color w:val="231F20"/>
                <w:sz w:val="20"/>
              </w:rPr>
              <w:t>(US Dollars in thousands, except share data)</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5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30,280 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58,134 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116,863 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112,747 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 of use assets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168,230 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164,656 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 (deficit)</w:t>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5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2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79,351 </w:t>
            </w:r>
          </w:p>
        </w:tc>
        <w:tc>
          <w:tcPr>
            <w:tcW w:w="12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70,962 </w:t>
            </w:r>
          </w:p>
        </w:tc>
        <w:tc>
          <w:tcPr>
            <w:tcW w:w="12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warrant liabilities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option derivative liabilities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unamortized debt issuance costs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2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184,515 </w:t>
            </w:r>
          </w:p>
        </w:tc>
        <w:tc>
          <w:tcPr>
            <w:tcW w:w="12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180,376 </w:t>
            </w:r>
          </w:p>
        </w:tc>
        <w:tc>
          <w:tcPr>
            <w:tcW w:w="12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Common Stock, $0.0001 par value, authorized 500,000,000 shares; 101,707,558 shares issued and 99,973,784</w:t>
            </w:r>
            <w:r>
              <w:rPr>
                <w:color w:val="231F20"/>
              </w:rPr>
              <w:t xml:space="preserve"> </w:t>
            </w:r>
            <w:r>
              <w:rPr>
                <w:rFonts w:ascii="Times New Roman;serif" w:hAnsi="Times New Roman;serif"/>
                <w:b w:val="false"/>
                <w:color w:val="231F20"/>
                <w:sz w:val="20"/>
              </w:rPr>
              <w:t>shares</w:t>
            </w:r>
            <w:r>
              <w:rPr>
                <w:color w:val="000000"/>
              </w:rPr>
              <w:t xml:space="preserve"> </w:t>
            </w:r>
            <w:r>
              <w:rPr>
                <w:rFonts w:ascii="Times New Roman;serif" w:hAnsi="Times New Roman;serif"/>
                <w:b w:val="false"/>
                <w:color w:val="000000"/>
                <w:sz w:val="20"/>
              </w:rPr>
              <w:t xml:space="preserve">outstanding at March 31, 2026 and </w:t>
            </w:r>
            <w:r>
              <w:rPr>
                <w:rFonts w:ascii="Times New Roman;serif" w:hAnsi="Times New Roman;serif"/>
                <w:b w:val="false"/>
                <w:color w:val="231F20"/>
                <w:sz w:val="20"/>
              </w:rPr>
              <w:t>100,596,918</w:t>
            </w:r>
            <w:r>
              <w:rPr>
                <w:color w:val="000000"/>
              </w:rPr>
              <w:t xml:space="preserve"> </w:t>
            </w:r>
            <w:r>
              <w:rPr>
                <w:rFonts w:ascii="Times New Roman;serif" w:hAnsi="Times New Roman;serif"/>
                <w:b w:val="false"/>
                <w:color w:val="000000"/>
                <w:sz w:val="20"/>
              </w:rPr>
              <w:t>shares issued and 98,863,144 shares outstanding at December 31, 2025</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Series A Convertible Preferred Stock, $0.0001 par value, authorized 10,000,000 shares; 193,507 shares issued and outstanding at March 31, 2026 and December 31, 2025</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258,635 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256,708 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Treasury Stock at cost, 1,733,774 shares at March 31, 2026 and December 31, 2025</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(273,911)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(271,419)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stockholders’ equity (deficit)</w:t>
            </w:r>
          </w:p>
        </w:tc>
        <w:tc>
          <w:tcPr>
            <w:tcW w:w="122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(16,285)</w:t>
            </w:r>
          </w:p>
        </w:tc>
        <w:tc>
          <w:tcPr>
            <w:tcW w:w="12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(15,720)</w:t>
            </w:r>
          </w:p>
        </w:tc>
        <w:tc>
          <w:tcPr>
            <w:tcW w:w="12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 (deficit)</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168,230 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164,656 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231F20"/>
          <w:sz w:val="20"/>
        </w:rPr>
      </w:pPr>
      <w:r>
        <w:rPr>
          <w:rFonts w:ascii="Times New Roman;serif" w:hAnsi="Times New Roman;serif"/>
          <w:b w:val="false"/>
          <w:color w:val="231F20"/>
          <w:sz w:val="20"/>
        </w:rPr>
        <w:t>Note: The Company’s condensed consolidated balance sheets include the assets and liabilities of its consolidated variable interest entities (“VIEs”). The condensed consolidated balance sheets include total assets that can be used only to settle obligations of the Company’s consolidated VIEs totaling $103,665 and $88,806 as of March 31, 2026 and December 31, 2025, respectively, and total liabilities of the Company’s consolidated VIEs for which creditors do not have recourse to the general credit of the Company totaling $64,603 and $55,410 as of March 31, 2026 and December 31, 2025, respectively. See Note 16 for further details.</w:t>
      </w:r>
    </w:p>
    <w:p>
      <w:pPr>
        <w:pStyle w:val="TextBody"/>
        <w:bidi w:val="0"/>
        <w:spacing w:lineRule="auto" w:line="288" w:before="0" w:after="200"/>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231F20"/>
          <w:sz w:val="20"/>
        </w:rPr>
      </w:pPr>
      <w:r>
        <w:rPr>
          <w:rFonts w:ascii="Times New Roman;serif" w:hAnsi="Times New Roman;serif"/>
          <w:b/>
          <w:color w:val="231F20"/>
          <w:sz w:val="20"/>
        </w:rPr>
        <w:t>THE ONCOLOGY INSTITUTE, INC.</w:t>
      </w:r>
    </w:p>
    <w:p>
      <w:pPr>
        <w:pStyle w:val="TextBody"/>
        <w:bidi w:val="0"/>
        <w:spacing w:lineRule="auto" w:line="276" w:before="0" w:after="9"/>
        <w:jc w:val="center"/>
        <w:rPr>
          <w:rFonts w:ascii="Times New Roman;serif" w:hAnsi="Times New Roman;serif"/>
          <w:b/>
          <w:color w:val="231F20"/>
          <w:sz w:val="20"/>
        </w:rPr>
      </w:pPr>
      <w:r>
        <w:rPr>
          <w:rFonts w:ascii="Times New Roman;serif" w:hAnsi="Times New Roman;serif"/>
          <w:b/>
          <w:color w:val="231F20"/>
          <w:sz w:val="20"/>
        </w:rPr>
        <w:t>CONDENSED CONSOLIDATED STATEMENTS OF OPERATIONS</w:t>
      </w:r>
    </w:p>
    <w:p>
      <w:pPr>
        <w:pStyle w:val="TextBody"/>
        <w:bidi w:val="0"/>
        <w:spacing w:lineRule="auto" w:line="276" w:before="0" w:after="9"/>
        <w:jc w:val="center"/>
        <w:rPr>
          <w:rFonts w:ascii="Times New Roman;serif" w:hAnsi="Times New Roman;serif"/>
          <w:b/>
          <w:color w:val="231F20"/>
          <w:sz w:val="20"/>
        </w:rPr>
      </w:pPr>
      <w:r>
        <w:rPr>
          <w:rFonts w:ascii="Times New Roman;serif" w:hAnsi="Times New Roman;serif"/>
          <w:b/>
          <w:color w:val="231F20"/>
          <w:sz w:val="20"/>
        </w:rPr>
        <w:t>(US Dollars in thousands, except share data)</w:t>
      </w:r>
    </w:p>
    <w:p>
      <w:pPr>
        <w:pStyle w:val="TextBody"/>
        <w:bidi w:val="0"/>
        <w:spacing w:lineRule="auto" w:line="276" w:before="0" w:after="240"/>
        <w:jc w:val="center"/>
        <w:rPr>
          <w:rFonts w:ascii="Times New Roman;serif" w:hAnsi="Times New Roman;serif"/>
          <w:b/>
          <w:color w:val="231F20"/>
          <w:sz w:val="20"/>
        </w:rPr>
      </w:pPr>
      <w:r>
        <w:rPr>
          <w:rFonts w:ascii="Times New Roman;serif" w:hAnsi="Times New Roman;serif"/>
          <w:b/>
          <w:color w:val="231F20"/>
          <w:sz w:val="20"/>
        </w:rPr>
        <w:t>(Unaudited)</w:t>
      </w:r>
    </w:p>
    <w:tbl>
      <w:tblPr>
        <w:tblW w:w="8261" w:type="dxa"/>
        <w:jc w:val="left"/>
        <w:tblInd w:w="0" w:type="dxa"/>
        <w:tblLayout w:type="fixed"/>
        <w:tblCellMar>
          <w:top w:w="28" w:type="dxa"/>
          <w:left w:w="28" w:type="dxa"/>
          <w:bottom w:w="28" w:type="dxa"/>
          <w:right w:w="28" w:type="dxa"/>
        </w:tblCellMar>
      </w:tblPr>
      <w:tblGrid>
        <w:gridCol w:w="1966"/>
        <w:gridCol w:w="1729"/>
        <w:gridCol w:w="1734"/>
        <w:gridCol w:w="236"/>
        <w:gridCol w:w="808"/>
        <w:gridCol w:w="122"/>
        <w:gridCol w:w="122"/>
        <w:gridCol w:w="122"/>
        <w:gridCol w:w="122"/>
        <w:gridCol w:w="236"/>
        <w:gridCol w:w="892"/>
        <w:gridCol w:w="172"/>
      </w:tblGrid>
      <w:tr>
        <w:trPr/>
        <w:tc>
          <w:tcPr>
            <w:tcW w:w="1966"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2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53,068 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87,541 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49,293 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revenue</w:t>
            </w:r>
          </w:p>
        </w:tc>
        <w:tc>
          <w:tcPr>
            <w:tcW w:w="104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147,441 </w:t>
            </w:r>
          </w:p>
        </w:tc>
        <w:tc>
          <w:tcPr>
            <w:tcW w:w="12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104,406 </w:t>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patient services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47,080 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specialty pharmacy</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39,863 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clinical trials &amp; other</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25,376 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4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153,954 </w:t>
            </w:r>
          </w:p>
        </w:tc>
        <w:tc>
          <w:tcPr>
            <w:tcW w:w="12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114,317 </w:t>
            </w:r>
          </w:p>
        </w:tc>
        <w:tc>
          <w:tcPr>
            <w:tcW w:w="17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4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(6,513)</w:t>
            </w:r>
          </w:p>
        </w:tc>
        <w:tc>
          <w:tcPr>
            <w:tcW w:w="12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(9,911)</w:t>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(income)</w:t>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5,570 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warrant liabilities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conversion option derivative liabilities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Total other non-operating expense (income) </w:t>
            </w:r>
          </w:p>
        </w:tc>
        <w:tc>
          <w:tcPr>
            <w:tcW w:w="104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(4,021)</w:t>
            </w:r>
          </w:p>
        </w:tc>
        <w:tc>
          <w:tcPr>
            <w:tcW w:w="12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9,674 </w:t>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4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w:t>
            </w:r>
          </w:p>
        </w:tc>
        <w:tc>
          <w:tcPr>
            <w:tcW w:w="12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(19,585)</w:t>
            </w:r>
          </w:p>
        </w:tc>
        <w:tc>
          <w:tcPr>
            <w:tcW w:w="17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3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w:t>
            </w:r>
          </w:p>
        </w:tc>
        <w:tc>
          <w:tcPr>
            <w:tcW w:w="12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(19,585)</w:t>
            </w:r>
          </w:p>
        </w:tc>
        <w:tc>
          <w:tcPr>
            <w:tcW w:w="17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stockholders, basic and diluted</w:t>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(2,094)</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(16,075)</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261" w:type="dxa"/>
            <w:gridSpan w:val="12"/>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left"/>
              <w:rPr>
                <w:rFonts w:ascii="Times New Roman;serif" w:hAnsi="Times New Roman;serif"/>
                <w:b/>
                <w:color w:val="000000"/>
                <w:sz w:val="20"/>
              </w:rPr>
            </w:pPr>
            <w:r>
              <w:rPr>
                <w:rFonts w:ascii="Times New Roman;serif" w:hAnsi="Times New Roman;serif"/>
                <w:b/>
                <w:color w:val="000000"/>
                <w:sz w:val="20"/>
              </w:rPr>
              <w:t>Net loss per share attributable to common stockholders:</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261" w:type="dxa"/>
            <w:gridSpan w:val="12"/>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left"/>
              <w:rPr>
                <w:rFonts w:ascii="Times New Roman;serif" w:hAnsi="Times New Roman;serif"/>
                <w:b/>
                <w:color w:val="000000"/>
                <w:sz w:val="20"/>
              </w:rPr>
            </w:pPr>
            <w:r>
              <w:rPr>
                <w:rFonts w:ascii="Times New Roman;serif" w:hAnsi="Times New Roman;serif"/>
                <w:b/>
                <w:color w:val="000000"/>
                <w:sz w:val="20"/>
              </w:rPr>
              <w:t>Weighted-average number of shares outstanding:</w:t>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101,801,609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77,098,825</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101,801,609</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77,098,825</w:t>
            </w:r>
          </w:p>
        </w:tc>
      </w:tr>
    </w:tbl>
    <w:p>
      <w:pPr>
        <w:pStyle w:val="TextBody"/>
        <w:bidi w:val="0"/>
        <w:spacing w:lineRule="auto" w:line="288" w:before="0" w:after="200"/>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THE ONCOLOGY INSTITUTE, INC.</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CHANGES IN STOCKHOLDERS’ EQUITY (DEFICIT)</w:t>
      </w:r>
    </w:p>
    <w:p>
      <w:pPr>
        <w:pStyle w:val="TextBody"/>
        <w:bidi w:val="0"/>
        <w:spacing w:lineRule="auto" w:line="276" w:before="0" w:after="0"/>
        <w:jc w:val="center"/>
        <w:rPr>
          <w:rFonts w:ascii="Times New Roman;serif" w:hAnsi="Times New Roman;serif"/>
          <w:b/>
          <w:color w:val="231F20"/>
          <w:sz w:val="20"/>
        </w:rPr>
      </w:pPr>
      <w:r>
        <w:rPr>
          <w:rFonts w:ascii="Times New Roman;serif" w:hAnsi="Times New Roman;serif"/>
          <w:b/>
          <w:color w:val="231F20"/>
          <w:sz w:val="20"/>
        </w:rPr>
        <w:t>(US Dollars in thousands, except share and per share data)</w:t>
      </w:r>
    </w:p>
    <w:p>
      <w:pPr>
        <w:pStyle w:val="TextBody"/>
        <w:bidi w:val="0"/>
        <w:spacing w:lineRule="auto" w:line="276" w:before="0" w:after="240"/>
        <w:jc w:val="center"/>
        <w:rPr>
          <w:rFonts w:ascii="Times New Roman;serif" w:hAnsi="Times New Roman;serif"/>
          <w:b/>
          <w:color w:val="231F20"/>
          <w:sz w:val="20"/>
        </w:rPr>
      </w:pPr>
      <w:r>
        <w:rPr>
          <w:rFonts w:ascii="Times New Roman;serif" w:hAnsi="Times New Roman;serif"/>
          <w:b/>
          <w:color w:val="231F20"/>
          <w:sz w:val="20"/>
        </w:rPr>
        <w:t>(Unaudited)</w:t>
      </w:r>
    </w:p>
    <w:p>
      <w:pPr>
        <w:pStyle w:val="TextBody"/>
        <w:bidi w:val="0"/>
        <w:spacing w:before="0" w:after="240"/>
        <w:jc w:val="center"/>
        <w:rPr/>
      </w:pPr>
      <w:r>
        <w:rPr/>
      </w:r>
    </w:p>
    <w:tbl>
      <w:tblPr>
        <w:tblW w:w="11250" w:type="dxa"/>
        <w:jc w:val="center"/>
        <w:tblInd w:w="0" w:type="dxa"/>
        <w:tblLayout w:type="fixed"/>
        <w:tblCellMar>
          <w:top w:w="28" w:type="dxa"/>
          <w:left w:w="28" w:type="dxa"/>
          <w:bottom w:w="28" w:type="dxa"/>
          <w:right w:w="28" w:type="dxa"/>
        </w:tblCellMar>
      </w:tblPr>
      <w:tblGrid>
        <w:gridCol w:w="544"/>
        <w:gridCol w:w="268"/>
        <w:gridCol w:w="269"/>
        <w:gridCol w:w="480"/>
        <w:gridCol w:w="481"/>
        <w:gridCol w:w="211"/>
        <w:gridCol w:w="109"/>
        <w:gridCol w:w="109"/>
        <w:gridCol w:w="109"/>
        <w:gridCol w:w="269"/>
        <w:gridCol w:w="331"/>
        <w:gridCol w:w="151"/>
        <w:gridCol w:w="109"/>
        <w:gridCol w:w="109"/>
        <w:gridCol w:w="109"/>
        <w:gridCol w:w="368"/>
        <w:gridCol w:w="368"/>
        <w:gridCol w:w="211"/>
        <w:gridCol w:w="109"/>
        <w:gridCol w:w="109"/>
        <w:gridCol w:w="109"/>
        <w:gridCol w:w="207"/>
        <w:gridCol w:w="428"/>
        <w:gridCol w:w="116"/>
        <w:gridCol w:w="109"/>
        <w:gridCol w:w="109"/>
        <w:gridCol w:w="109"/>
        <w:gridCol w:w="196"/>
        <w:gridCol w:w="571"/>
        <w:gridCol w:w="109"/>
        <w:gridCol w:w="109"/>
        <w:gridCol w:w="109"/>
        <w:gridCol w:w="109"/>
        <w:gridCol w:w="196"/>
        <w:gridCol w:w="736"/>
        <w:gridCol w:w="109"/>
        <w:gridCol w:w="109"/>
        <w:gridCol w:w="109"/>
        <w:gridCol w:w="109"/>
        <w:gridCol w:w="208"/>
        <w:gridCol w:w="800"/>
        <w:gridCol w:w="118"/>
        <w:gridCol w:w="109"/>
        <w:gridCol w:w="109"/>
        <w:gridCol w:w="109"/>
        <w:gridCol w:w="263"/>
        <w:gridCol w:w="746"/>
        <w:gridCol w:w="207"/>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Stockholders’ Equity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77,470,886 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165,045 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(210,813)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RSUs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1,023,867 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private placement,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12,006,510 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stock upon exchange of debt for equity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90,661,800 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202,278 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(230,398)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tbl>
      <w:tblPr>
        <w:tblW w:w="11340" w:type="dxa"/>
        <w:jc w:val="center"/>
        <w:tblInd w:w="0" w:type="dxa"/>
        <w:tblLayout w:type="fixed"/>
        <w:tblCellMar>
          <w:top w:w="28" w:type="dxa"/>
          <w:left w:w="28" w:type="dxa"/>
          <w:bottom w:w="28" w:type="dxa"/>
          <w:right w:w="28" w:type="dxa"/>
        </w:tblCellMar>
      </w:tblPr>
      <w:tblGrid>
        <w:gridCol w:w="544"/>
        <w:gridCol w:w="268"/>
        <w:gridCol w:w="269"/>
        <w:gridCol w:w="525"/>
        <w:gridCol w:w="526"/>
        <w:gridCol w:w="211"/>
        <w:gridCol w:w="109"/>
        <w:gridCol w:w="109"/>
        <w:gridCol w:w="109"/>
        <w:gridCol w:w="231"/>
        <w:gridCol w:w="390"/>
        <w:gridCol w:w="130"/>
        <w:gridCol w:w="109"/>
        <w:gridCol w:w="109"/>
        <w:gridCol w:w="109"/>
        <w:gridCol w:w="368"/>
        <w:gridCol w:w="368"/>
        <w:gridCol w:w="211"/>
        <w:gridCol w:w="109"/>
        <w:gridCol w:w="109"/>
        <w:gridCol w:w="109"/>
        <w:gridCol w:w="207"/>
        <w:gridCol w:w="428"/>
        <w:gridCol w:w="116"/>
        <w:gridCol w:w="109"/>
        <w:gridCol w:w="109"/>
        <w:gridCol w:w="109"/>
        <w:gridCol w:w="196"/>
        <w:gridCol w:w="571"/>
        <w:gridCol w:w="109"/>
        <w:gridCol w:w="109"/>
        <w:gridCol w:w="109"/>
        <w:gridCol w:w="109"/>
        <w:gridCol w:w="196"/>
        <w:gridCol w:w="736"/>
        <w:gridCol w:w="109"/>
        <w:gridCol w:w="109"/>
        <w:gridCol w:w="109"/>
        <w:gridCol w:w="109"/>
        <w:gridCol w:w="208"/>
        <w:gridCol w:w="800"/>
        <w:gridCol w:w="118"/>
        <w:gridCol w:w="109"/>
        <w:gridCol w:w="109"/>
        <w:gridCol w:w="109"/>
        <w:gridCol w:w="235"/>
        <w:gridCol w:w="795"/>
        <w:gridCol w:w="186"/>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 (Deficit)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100,596,918 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193,507 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(271,419)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RSUs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1,000,918 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issuances through employee stock purchase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84,392 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101,707,558 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193,507 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(273,911)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(16,285)</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lineRule="auto" w:line="288" w:before="0" w:after="200"/>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57"/>
        <w:gridCol w:w="1679"/>
        <w:gridCol w:w="1684"/>
        <w:gridCol w:w="407"/>
        <w:gridCol w:w="1395"/>
        <w:gridCol w:w="210"/>
        <w:gridCol w:w="210"/>
        <w:gridCol w:w="210"/>
        <w:gridCol w:w="210"/>
        <w:gridCol w:w="407"/>
        <w:gridCol w:w="1531"/>
        <w:gridCol w:w="305"/>
      </w:tblGrid>
      <w:tr>
        <w:trPr/>
        <w:tc>
          <w:tcPr>
            <w:tcW w:w="1957"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THE ONCOLOGY INSTITUTE, INC.</w:t>
            </w:r>
          </w:p>
          <w:p>
            <w:pPr>
              <w:pStyle w:val="TableContents"/>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CASH FLOWS</w:t>
            </w:r>
          </w:p>
          <w:p>
            <w:pPr>
              <w:pStyle w:val="TableContents"/>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(US Dollars in thousands)</w:t>
            </w:r>
          </w:p>
          <w:p>
            <w:pPr>
              <w:pStyle w:val="TableContents"/>
              <w:bidi w:val="0"/>
              <w:spacing w:lineRule="auto" w:line="288" w:before="0" w:after="240"/>
              <w:jc w:val="center"/>
              <w:rPr>
                <w:rFonts w:ascii="Times New Roman;serif" w:hAnsi="Times New Roman;serif"/>
                <w:b/>
                <w:color w:val="231F20"/>
                <w:sz w:val="20"/>
              </w:rPr>
            </w:pPr>
            <w:r>
              <w:rPr>
                <w:rFonts w:ascii="Times New Roman;serif" w:hAnsi="Times New Roman;serif"/>
                <w:b/>
                <w:color w:val="231F20"/>
                <w:sz w:val="20"/>
              </w:rPr>
              <w:t>(Unaudited)</w:t>
            </w:r>
          </w:p>
        </w:tc>
      </w:tr>
      <w:tr>
        <w:trPr/>
        <w:tc>
          <w:tcPr>
            <w:tcW w:w="5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Cash flows from operating activities:</w:t>
            </w:r>
          </w:p>
        </w:tc>
        <w:tc>
          <w:tcPr>
            <w:tcW w:w="2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07"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395"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(2,492)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53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(19,585)</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64" w:before="0" w:after="283"/>
              <w:ind w:left="0" w:right="0" w:hanging="144"/>
              <w:jc w:val="left"/>
              <w:rPr>
                <w:rFonts w:ascii="Times New Roman;serif" w:hAnsi="Times New Roman;serif"/>
                <w:b w:val="false"/>
                <w:color w:val="231F20"/>
                <w:sz w:val="20"/>
              </w:rPr>
            </w:pPr>
            <w:r>
              <w:rPr>
                <w:rFonts w:ascii="Times New Roman;serif" w:hAnsi="Times New Roman;serif"/>
                <w:b w:val="false"/>
                <w:color w:val="231F20"/>
                <w:sz w:val="20"/>
              </w:rPr>
              <w:t>Adjustments to reconcile net loss to cash and cash equivalents used in operating activities:</w:t>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Depreciation and amortization</w:t>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1,616 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1,784 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Amortization of debt issuance costs and debt discount</w:t>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1,211 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4,874 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Share-based compensation</w:t>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1,686 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1,458 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fair value of liability classified warrants</w:t>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(168)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43 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fair value of liability classified conversion option derivatives</w:t>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(4,996)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3,309 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Changes in operating assets and liabilities:</w:t>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receivable</w:t>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864 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(985)</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Other receivables</w:t>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(994)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color w:val="231F20"/>
              </w:rPr>
            </w:pPr>
            <w:r>
              <w:rPr>
                <w:color w:val="231F2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Inventories</w:t>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(7,415)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(2,269)</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Prepaid expenses and other current assets</w:t>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144 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(1,078)</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Other assets</w:t>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payable</w:t>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4,611 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5,057 </w:t>
            </w:r>
          </w:p>
        </w:tc>
        <w:tc>
          <w:tcPr>
            <w:tcW w:w="30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operating leases</w:t>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(186)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(162)</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Accrued expenses and other current liabilities</w:t>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3,918 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2,567 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Other non-current liabilities</w:t>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231F20"/>
              </w:rPr>
            </w:pPr>
            <w:r>
              <w:rPr>
                <w:color w:val="231F2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20"/>
              </w:rPr>
            </w:pPr>
            <w:r>
              <w:rPr>
                <w:rFonts w:ascii="Times New Roman;serif" w:hAnsi="Times New Roman;serif"/>
                <w:b/>
                <w:color w:val="231F20"/>
                <w:sz w:val="20"/>
              </w:rPr>
              <w:t>Net cash and cash equivalents used in operating activities</w:t>
            </w:r>
          </w:p>
        </w:tc>
        <w:tc>
          <w:tcPr>
            <w:tcW w:w="1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(2,215)</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(4,988)</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Cash flows from investing activities:</w:t>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Purchases of property and equipment</w:t>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(1,042)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(328)</w:t>
            </w:r>
          </w:p>
        </w:tc>
        <w:tc>
          <w:tcPr>
            <w:tcW w:w="30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Proceeds from asset disposition</w:t>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231F20"/>
              </w:rPr>
            </w:pPr>
            <w:r>
              <w:rPr>
                <w:color w:val="231F2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126 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000000"/>
                <w:sz w:val="18"/>
              </w:rPr>
            </w:pPr>
            <w:r>
              <w:rPr>
                <w:rFonts w:ascii="Times New Roman;serif" w:hAnsi="Times New Roman;serif"/>
                <w:b/>
                <w:color w:val="000000"/>
                <w:sz w:val="18"/>
              </w:rPr>
              <w:t>Net cash and cash equivalents used in investing activities</w:t>
            </w:r>
          </w:p>
        </w:tc>
        <w:tc>
          <w:tcPr>
            <w:tcW w:w="1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(1,042)</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(202)</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Cash flows from financing activities:</w:t>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Proceeds from private placement, net of offering costs</w:t>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color w:val="231F20"/>
              </w:rPr>
            </w:pPr>
            <w:r>
              <w:rPr>
                <w:color w:val="231F2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15,359 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Proceeds from employee stock purchase plan</w:t>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220 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231F20"/>
              </w:rPr>
            </w:pPr>
            <w:r>
              <w:rPr>
                <w:color w:val="231F2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Payments made for financing of insurance payments</w:t>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(260)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(226)</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Principal payments on long-term debt</w:t>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231F20"/>
              </w:rPr>
            </w:pPr>
            <w:r>
              <w:rPr>
                <w:color w:val="231F2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(20,000)</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Principal payments on financing leases</w:t>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(10)</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Common stock issued for options exercised</w:t>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137 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20"/>
              </w:rPr>
            </w:pPr>
            <w:r>
              <w:rPr>
                <w:rFonts w:ascii="Times New Roman;serif" w:hAnsi="Times New Roman;serif"/>
                <w:b/>
                <w:color w:val="231F20"/>
                <w:sz w:val="20"/>
              </w:rPr>
              <w:t>Net cash and cash equivalents used in financing activities</w:t>
            </w:r>
          </w:p>
        </w:tc>
        <w:tc>
          <w:tcPr>
            <w:tcW w:w="1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(28)</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(4,740)</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Net decrease in cash and cash equivalents</w:t>
            </w:r>
          </w:p>
        </w:tc>
        <w:tc>
          <w:tcPr>
            <w:tcW w:w="1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(3,285)</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(9,930)</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20"/>
              </w:rPr>
            </w:pPr>
            <w:r>
              <w:rPr>
                <w:rFonts w:ascii="Times New Roman;serif" w:hAnsi="Times New Roman;serif"/>
                <w:b/>
                <w:color w:val="231F20"/>
                <w:sz w:val="20"/>
              </w:rPr>
              <w:t>Cash and cash equivalents at beginning of period</w:t>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33,565 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49,669 </w:t>
            </w:r>
          </w:p>
        </w:tc>
        <w:tc>
          <w:tcPr>
            <w:tcW w:w="30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20"/>
              </w:rPr>
            </w:pPr>
            <w:r>
              <w:rPr>
                <w:rFonts w:ascii="Times New Roman;serif" w:hAnsi="Times New Roman;serif"/>
                <w:b/>
                <w:color w:val="231F20"/>
                <w:sz w:val="20"/>
              </w:rPr>
              <w:t>Cash and cash equivalents at end of period</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30,280 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39,739 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Supplemental disclosure of noncash investing and financing activities:</w:t>
            </w:r>
          </w:p>
        </w:tc>
        <w:tc>
          <w:tcPr>
            <w:tcW w:w="2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Principal exchange of convertible note for preferred stock</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4,111 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Purchases of property and equipment included in accounts payable</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Financed insurance premiums</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530 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Supplemental disclosure of cash flow information:</w:t>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Cash paid for:</w:t>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888 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THE ONCOLOGY INSTITUTE, INC.</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NOTES TO CONDENSED CONSOLIDATED FINANCIAL STATEMENTS (UNAUDITED)</w:t>
      </w:r>
    </w:p>
    <w:p>
      <w:pPr>
        <w:pStyle w:val="TextBody"/>
        <w:bidi w:val="0"/>
        <w:spacing w:lineRule="auto" w:line="288" w:before="0" w:after="0"/>
        <w:jc w:val="center"/>
        <w:rPr/>
      </w:pPr>
      <w:r>
        <w:rPr>
          <w:rFonts w:ascii="Times New Roman;serif" w:hAnsi="Times New Roman;serif"/>
          <w:b/>
          <w:color w:val="231F20"/>
          <w:sz w:val="20"/>
        </w:rPr>
        <w:t>As of March 31, 2026 and December 31, 2025, and for the three</w:t>
      </w:r>
      <w:r>
        <w:rPr>
          <w:color w:val="000000"/>
        </w:rPr>
        <w:t xml:space="preserve"> </w:t>
      </w:r>
      <w:r>
        <w:rPr>
          <w:rFonts w:ascii="Times New Roman;serif" w:hAnsi="Times New Roman;serif"/>
          <w:b/>
          <w:color w:val="000000"/>
          <w:sz w:val="20"/>
        </w:rPr>
        <w:t xml:space="preserve">months ended </w:t>
      </w:r>
      <w:r>
        <w:rPr>
          <w:rFonts w:ascii="Times New Roman;serif" w:hAnsi="Times New Roman;serif"/>
          <w:b/>
          <w:color w:val="231F20"/>
          <w:sz w:val="20"/>
        </w:rPr>
        <w:t>March 31, 2026 and 2025</w:t>
      </w:r>
    </w:p>
    <w:p>
      <w:pPr>
        <w:pStyle w:val="TextBody"/>
        <w:bidi w:val="0"/>
        <w:spacing w:lineRule="auto" w:line="288" w:before="0" w:after="200"/>
        <w:jc w:val="center"/>
        <w:rPr>
          <w:rFonts w:ascii="Times New Roman;serif" w:hAnsi="Times New Roman;serif"/>
          <w:b/>
          <w:color w:val="231F20"/>
          <w:sz w:val="20"/>
        </w:rPr>
      </w:pPr>
      <w:r>
        <w:rPr>
          <w:rFonts w:ascii="Times New Roman;serif" w:hAnsi="Times New Roman;serif"/>
          <w:b/>
          <w:color w:val="231F20"/>
          <w:sz w:val="20"/>
        </w:rPr>
        <w:t>(US Dollars in thousands, except share data and unless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 Description of the Business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Overview of the Business</w:t>
      </w:r>
    </w:p>
    <w:p>
      <w:pPr>
        <w:pStyle w:val="TextBody"/>
        <w:bidi w:val="0"/>
        <w:spacing w:lineRule="auto" w:line="268" w:before="0" w:after="200"/>
        <w:ind w:left="0" w:right="0" w:firstLine="360"/>
        <w:jc w:val="both"/>
        <w:rPr/>
      </w:pPr>
      <w:r>
        <w:rPr>
          <w:rFonts w:ascii="Times New Roman;serif" w:hAnsi="Times New Roman;serif"/>
          <w:b w:val="false"/>
          <w:color w:val="231F20"/>
          <w:sz w:val="20"/>
        </w:rPr>
        <w:t xml:space="preserve">The Oncology Institute, Inc. (“TOI”) was formerly known as DFP Healthcare Acquisitions Corp. ("DFPH"). DFPH was a Delaware corporation originally formed in </w:t>
      </w:r>
      <w:r>
        <w:rPr>
          <w:rFonts w:ascii="Times New Roman;serif" w:hAnsi="Times New Roman;serif"/>
          <w:b w:val="false"/>
          <w:color w:val="000000"/>
          <w:sz w:val="20"/>
        </w:rPr>
        <w:t>2019</w:t>
      </w:r>
      <w:r>
        <w:rPr>
          <w:color w:val="231F20"/>
        </w:rPr>
        <w:t xml:space="preserve"> </w:t>
      </w:r>
      <w:r>
        <w:rPr>
          <w:rFonts w:ascii="Times New Roman;serif" w:hAnsi="Times New Roman;serif"/>
          <w:b w:val="false"/>
          <w:color w:val="231F20"/>
          <w:sz w:val="20"/>
        </w:rPr>
        <w:t>as a publicly-traded special purpose acquisition company for the purpose of effecting a merger, capital stock exchange, asset acquisition, stock purchase, reorganization, or similar business combination ("Business Combinati</w:t>
      </w:r>
      <w:r>
        <w:rPr>
          <w:rFonts w:ascii="Times New Roman;serif" w:hAnsi="Times New Roman;serif"/>
          <w:b w:val="false"/>
          <w:color w:val="000000"/>
          <w:sz w:val="20"/>
        </w:rPr>
        <w:t xml:space="preserve">on"). </w:t>
      </w:r>
      <w:r>
        <w:rPr>
          <w:rFonts w:ascii="Times New Roman;serif" w:hAnsi="Times New Roman;serif"/>
          <w:b w:val="false"/>
          <w:color w:val="231F20"/>
          <w:sz w:val="20"/>
        </w:rPr>
        <w:t xml:space="preserve">TOI's wholly-owned subsidiary The Oncology Institute, LLC (which was formerly known as TOI Parent, Inc.) was </w:t>
      </w:r>
      <w:r>
        <w:rPr>
          <w:rFonts w:ascii="Times New Roman;serif" w:hAnsi="Times New Roman;serif"/>
          <w:b w:val="false"/>
          <w:color w:val="000000"/>
          <w:sz w:val="20"/>
        </w:rPr>
        <w:t xml:space="preserve">originally founded in 2007 and is a leading, national platform delivering integrated direct care and cost management to patients and payors who are experiencing or managing members undergoing treatment for cancer and other complex medical conditions. </w:t>
      </w:r>
    </w:p>
    <w:p>
      <w:pPr>
        <w:pStyle w:val="TextBody"/>
        <w:bidi w:val="0"/>
        <w:spacing w:lineRule="auto" w:line="288" w:before="0" w:after="200"/>
        <w:ind w:left="0" w:right="0" w:firstLine="360"/>
        <w:jc w:val="both"/>
        <w:rPr/>
      </w:pPr>
      <w:r>
        <w:rPr>
          <w:rFonts w:ascii="Times New Roman;serif" w:hAnsi="Times New Roman;serif"/>
          <w:b w:val="false"/>
          <w:color w:val="000000"/>
          <w:sz w:val="20"/>
        </w:rPr>
        <w:t>On November 12, 2021 ("Closing Date"), the Business Combination closed following a series of mergers, which resulted in DFPH emerging as the parent of the combined entity Orion Merger Sub II, LLC and the former TOI Parent (together, "Legacy TOI"). DFPH was renamed “The Oncology Institute, Inc.” and c</w:t>
      </w:r>
      <w:r>
        <w:rPr>
          <w:rFonts w:ascii="Times New Roman;serif" w:hAnsi="Times New Roman;serif"/>
          <w:b w:val="false"/>
          <w:color w:val="231F20"/>
          <w:sz w:val="20"/>
        </w:rPr>
        <w:t>ommon</w:t>
      </w:r>
      <w:r>
        <w:rPr>
          <w:color w:val="000000"/>
        </w:rPr>
        <w:t xml:space="preserve"> </w:t>
      </w:r>
      <w:r>
        <w:rPr>
          <w:rFonts w:ascii="Times New Roman;serif" w:hAnsi="Times New Roman;serif"/>
          <w:b w:val="false"/>
          <w:color w:val="000000"/>
          <w:sz w:val="20"/>
        </w:rPr>
        <w:t>stock and "Public Warrants" continued to be listed on Nasdaq under the ticker symbols “TOI” and “TOIIW,” respectively</w:t>
      </w:r>
    </w:p>
    <w:p>
      <w:pPr>
        <w:pStyle w:val="TextBody"/>
        <w:bidi w:val="0"/>
        <w:spacing w:lineRule="auto" w:line="26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wholly-owned subsidiaries (including TOI Management, LLC (“TOI Management”)) and affiliated entities, TOI operates combined community clinics and infusion suites staffed with providers who administer latest-generation cancer treatments including chemotherapy, immunotherapy, oncolytics, and radiation oncology. Additionally, TOI provides coordinated case management, drug formulary management, and fully-delegated networks of care providers, all of which we use to drive improved treatment outcomes at an affordable cost to our patients and payors. Additionally, TOI operates a specialty pharmacy that includes both in-office and mail-order dispensing for complementary oral and self-injectable medications taken by our patients concurrent with their in-office cancer therapies..</w:t>
      </w:r>
    </w:p>
    <w:p>
      <w:pPr>
        <w:pStyle w:val="TextBody"/>
        <w:bidi w:val="0"/>
        <w:spacing w:lineRule="auto" w:line="288" w:before="0" w:after="200"/>
        <w:ind w:left="0" w:right="0" w:firstLine="360"/>
        <w:jc w:val="both"/>
        <w:rPr/>
      </w:pPr>
      <w:r>
        <w:rPr>
          <w:rFonts w:ascii="Times New Roman;serif" w:hAnsi="Times New Roman;serif"/>
          <w:b w:val="false"/>
          <w:color w:val="231F20"/>
          <w:sz w:val="20"/>
        </w:rPr>
        <w:t>O</w:t>
      </w:r>
      <w:r>
        <w:rPr>
          <w:rFonts w:ascii="Times New Roman;serif" w:hAnsi="Times New Roman;serif"/>
          <w:b w:val="false"/>
          <w:color w:val="000000"/>
          <w:sz w:val="20"/>
        </w:rPr>
        <w:t xml:space="preserve">n March 31, 2025, the Company entered into a Research Services Agreement ("RSA") with Helios CR, Inc. ("Helios"), effective May 5, 2025, pursuant to which the Clinical Trials segment is operated by Helios in its entirety under a profit sharing arrangement with the Company. As part of the RSA, there is a Transition Services Agreement, in which certain administrative and professional services are provided by Helios for a certain period of time. Additionally, the Company pays a management fee to Helios on a periodic basis for certain shared services. The Company recognized a $2,398 loss due to the write-off of the segment's net assets for the year ended December 31, 2025. </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Company has 116 oncologists and mid-level professionals across 65 clinic locations located within five states: California, Florida, Arizona, Oregon and Nevada. </w:t>
      </w:r>
      <w:r>
        <w:rPr>
          <w:rFonts w:ascii="Times New Roman;serif" w:hAnsi="Times New Roman;serif"/>
          <w:b w:val="false"/>
          <w:color w:val="000000"/>
          <w:sz w:val="20"/>
        </w:rPr>
        <w:t>The Oncology Institute CA, a Professional Corporation ("TOI CA"), one of the TOI PCs,</w:t>
      </w:r>
      <w:r>
        <w:rPr>
          <w:color w:val="231F20"/>
        </w:rPr>
        <w:t xml:space="preserve"> </w:t>
      </w:r>
      <w:r>
        <w:rPr>
          <w:rFonts w:ascii="Times New Roman;serif" w:hAnsi="Times New Roman;serif"/>
          <w:b w:val="false"/>
          <w:color w:val="231F20"/>
          <w:sz w:val="20"/>
        </w:rPr>
        <w:t>is comprised of the clinic locations in California, Nevada, and Arizona. The Company has contractual relationships with multiple payors, serving Medicare, including Medicare Advantage, Medi-Cal, and commercial patients.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2. Summary of Significant Accounting Policies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Unaudited Interim Financial Information</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accompanying interim condensed consolidated financial statements are unaudited and have been prepared in accordance with Article 10 of Regulation S-X issued by the U.S. Securities and Exchange Commission ("SEC"). Accordingly, they do not include all of the information and note disclosures required by U.S. generally accepted accounting principles ("GAAP") for complete consolidated financial statements. However, the Company believes that the disclosures are adequate to ensure the information is not misleading. In the opinion of management, all adjustments (of normal and recurring nature) considered necessary for fair presentation have been reflected in these interim statements. As such, the information included in the accompanying unaudited interim condensed consolidated financial statements should be read in conjunction with the Company's audited consolidated financial statements and notes as of and for the year ended December 31, 2025, issued on March 12, 2026 in the Company's Annual Report on Form 10-K. The financial results included in this Form 10-Q are not necessarily indicative of annual year-end financial results. </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Principles of Consolidation</w:t>
      </w:r>
    </w:p>
    <w:p>
      <w:pPr>
        <w:pStyle w:val="TextBody"/>
        <w:bidi w:val="0"/>
        <w:spacing w:lineRule="auto" w:line="288" w:before="0" w:after="200"/>
        <w:ind w:left="0" w:right="0" w:firstLine="399"/>
        <w:jc w:val="both"/>
        <w:rPr>
          <w:rFonts w:ascii="Times New Roman;serif" w:hAnsi="Times New Roman;serif"/>
          <w:b w:val="false"/>
          <w:color w:val="231F20"/>
          <w:sz w:val="20"/>
        </w:rPr>
      </w:pPr>
      <w:r>
        <w:rPr>
          <w:rFonts w:ascii="Times New Roman;serif" w:hAnsi="Times New Roman;serif"/>
          <w:b w:val="false"/>
          <w:color w:val="231F20"/>
          <w:sz w:val="20"/>
        </w:rPr>
        <w:t xml:space="preserve">The accompanying condensed consolidated financial statements include the accounts of TOI, its subsidiaries, all of which are controlled by TOI through majority voting control, and variable interest entities (“VIEs”) for which TOI (through TOI Management) is the primary beneficiary. The Company consolidates entities in which it has a controlling financial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231F20"/>
          <w:sz w:val="20"/>
        </w:rPr>
      </w:pPr>
      <w:r>
        <w:rPr>
          <w:rFonts w:ascii="Times New Roman;serif" w:hAnsi="Times New Roman;serif"/>
          <w:b w:val="false"/>
          <w:color w:val="231F20"/>
          <w:sz w:val="20"/>
        </w:rPr>
        <w:t>based on either the variable interest entity or voting interest model. All significant intercompany balances and transactions have been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Variable Interest Entities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consolidates entities for which it has a variable interest and is determined to be the primary beneficiary. Revenues, expenses, and net income (loss) from these subsidiaries are included in the consolidated amounts as presented on the Condensed Consolidated Statements of Operations.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Company holds, as a result of entering into master services agreements ("MSAs"), variable interests in TOI professional corporations ("TOI PCs"), which it cannot legally own. As of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000000"/>
          <w:sz w:val="20"/>
        </w:rPr>
        <w:t>TOI held variable interests in TOI CA, The Oncology Institute FL, LLC, a Professional Corporation ("TOI FL"), The Oncology Institute OR, a Professional Corporation ("TOI OR"), and The Oncology Institute TX, a Professional Corporation ("TOI TX"), all of which are VIEs. The Company is the primary beneficiary of the TOI PCs and thus, consolidates the TOI PCs in its financial statements. As discussed in Note 16, the noncontrolling shareholders hold nominal interests in the VIEs and do not participate in the income or loss of the VIEs.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200"/>
        <w:jc w:val="both"/>
        <w:rPr/>
      </w:pPr>
      <w:r>
        <w:rPr>
          <w:rFonts w:ascii="Times New Roman;serif" w:hAnsi="Times New Roman;serif"/>
          <w:b w:val="false"/>
          <w:color w:val="000000"/>
          <w:sz w:val="20"/>
        </w:rPr>
        <w:t>The ac</w:t>
      </w:r>
      <w:r>
        <w:rPr>
          <w:rFonts w:ascii="Times New Roman;serif" w:hAnsi="Times New Roman;serif"/>
          <w:b w:val="false"/>
          <w:color w:val="231F20"/>
          <w:sz w:val="20"/>
        </w:rPr>
        <w:t xml:space="preserve">companying financial statements have been prepared on a going concern basis of accounting, which contemplates continuity of operations, realization of assets and liabilities and commitments in the normal course of business. In connection with the preparation of the condensed consolidated financial statements for the three months ended March 31, 2026, the Company conducted an evaluation as to whether there were conditions and events, considered in the aggregate, which raised substantial doubt as to its ability to continue as a going concern within one year after the date of the issuance of such financial statements. The Company had cash and cash equivalents of $30,280 and an accumulated deficit of $273,911 at March 31, 2026, and a net loss of $2,492 and net cash used in operations of $2,215 for the three months ended March 31, 2026. </w:t>
      </w:r>
    </w:p>
    <w:p>
      <w:pPr>
        <w:pStyle w:val="TextBody"/>
        <w:bidi w:val="0"/>
        <w:spacing w:lineRule="auto" w:line="288" w:before="0" w:after="200"/>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 has concluded that it will have sufficient liquidity to fund its operations for at least one year from the date these consolidated financial statements are issued. Although the Company currently expects its sources of capital to be sufficient to meet its near-term liquidity needs, there can be no assurance that such sources will be sufficient to satisfy its liquidity requirements in the future. If the Company cannot generate or obtain needed funds, it might be forced to make substantial reductions in its operating and capital expenses or pursue restructuring plans, which could adversely affect its business operations and ability to execute its current business strategy. </w:t>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Segment Reporting</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Company presents the financial statements by segment in accordance with ASC Topic No. 280, </w:t>
      </w:r>
      <w:r>
        <w:rPr>
          <w:rFonts w:ascii="Times New Roman;serif" w:hAnsi="Times New Roman;serif"/>
          <w:b w:val="false"/>
          <w:i/>
          <w:color w:val="231F20"/>
          <w:sz w:val="20"/>
        </w:rPr>
        <w:t xml:space="preserve">Segment Reporting </w:t>
      </w:r>
      <w:r>
        <w:rPr>
          <w:rFonts w:ascii="Times New Roman;serif" w:hAnsi="Times New Roman;serif"/>
          <w:b w:val="false"/>
          <w:color w:val="231F20"/>
          <w:sz w:val="20"/>
        </w:rPr>
        <w:t>(“ASC 280”) to provide investors with transparency into how the chief operating decision maker (“CODM”) manages the business. The Company determined the CODM is its Chief Executive Officer. The CODM reviews financial information and allocates resources across three operating segments: patient services, specialty pharmacy, and clinical trials &amp; other. Each of the operating segments is also a reporting segment as described further in Note 19.</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Use of Estimates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materially differ from those estimates under different assumptions or conditions. Significant items subject to such estimates and assumptions include judgments related to fee-for-service ("FFS") revenue recognition, estimated FFS accounts receivable and the allowance for credit losses, useful lives and recoverability of long-lived assets, recoverability of goodwill, fair value of share-based compensation, fair value of liability classified instruments, and judgments related to deferred income taxes.</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Net Loss Per Share</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Basic and diluted net loss per share attributable to common stockholders is presented in conformity with the two-class method required for participating securities. The Company's Series A Convertible Preferred Stock is classified as a participating security in accordance with ASC 260. Under the two-class method, basic and diluted net loss per share attributable to common stockholders is computed by dividing the basic and diluted net loss attributable to common stockholders by the basic and diluted weighted-average number of shares of common stock outstanding during the period. Diluted net income per share attributable to common stockholders adjusts basic net income per share for the potentially dilutive impact of stock options, restricted stock units, Medical RSUs (defined in Note 14), public warrants, private placement warrants, common warrants, pre-funded warrants, and Senior Secured Convertible Notes (defined in Note 11).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treasury stock method is used to calculate the potentially dilutive effect of stock options, RSUs, public warrants, and private placement warrants. The if-converted method is used to calculate the potentially dilutive effect of the Senior Secured Notes. In both methods, diluted net income (loss) attributable to common stockholders and diluted weighted-average shares outstanding are adjusted to account for the impact of the assumed issuance of potential shares of common stock that are dilutive, subject to dilution sequencing rules. For the periods presented, the public and private placement warrants are out of the money; therefore, the public and private placement warrants are anti-dilutive and excluded from diluted net loss per share.</w:t>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Fair Value Measurements</w:t>
      </w:r>
    </w:p>
    <w:p>
      <w:pPr>
        <w:pStyle w:val="TextBody"/>
        <w:bidi w:val="0"/>
        <w:spacing w:lineRule="auto" w:line="288" w:before="0" w:after="180"/>
        <w:ind w:left="0" w:right="0" w:firstLine="360"/>
        <w:jc w:val="both"/>
        <w:rPr/>
      </w:pPr>
      <w:r>
        <w:rPr>
          <w:rFonts w:ascii="Times New Roman;serif" w:hAnsi="Times New Roman;serif"/>
          <w:b w:val="false"/>
          <w:color w:val="231F20"/>
          <w:sz w:val="20"/>
        </w:rPr>
        <w:t xml:space="preserve">The Company accounts for fair value measurements under ASC Topic No. 820, </w:t>
      </w:r>
      <w:r>
        <w:rPr>
          <w:rFonts w:ascii="Times New Roman;serif" w:hAnsi="Times New Roman;serif"/>
          <w:b w:val="false"/>
          <w:i/>
          <w:color w:val="231F20"/>
          <w:sz w:val="20"/>
        </w:rPr>
        <w:t xml:space="preserve">Fair Value Measurements </w:t>
      </w:r>
      <w:r>
        <w:rPr>
          <w:rFonts w:ascii="Times New Roman;serif" w:hAnsi="Times New Roman;serif"/>
          <w:b w:val="false"/>
          <w:color w:val="231F20"/>
          <w:sz w:val="20"/>
        </w:rPr>
        <w:t>(“ASC 820”).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 (see Note 7 for further discussion):</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Level 1inputs: Unadjusted quoted prices in active markets for identical assets or liabilities accessible to the reporting entity at the measurement date.</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Level 2inputs: Other than quoted prices included in Level 1 inputs that are observable for the asset or liability, either directly or indirectly, for substantially the full term of the asset or liability.</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Level 3inputs: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Company's fair value measurement for cash and cash equivalents, </w:t>
      </w:r>
      <w:r>
        <w:rPr>
          <w:rFonts w:ascii="Times New Roman;serif" w:hAnsi="Times New Roman;serif"/>
          <w:b w:val="false"/>
          <w:color w:val="231F20"/>
          <w:sz w:val="20"/>
        </w:rPr>
        <w:t xml:space="preserve">accounts receivable, other receivables, and accounts payable approximates fair value because of the short maturity and high liquidity of these instruments. </w:t>
      </w:r>
      <w:r>
        <w:rPr>
          <w:rFonts w:ascii="Times New Roman;serif" w:hAnsi="Times New Roman;serif"/>
          <w:b w:val="false"/>
          <w:color w:val="000000"/>
          <w:sz w:val="20"/>
        </w:rPr>
        <w:t xml:space="preserve">Fair value measurement of investment securities available for sale is based upon quoted prices from active markets, if available (Level 1). If quoted prices are not available, fair values are measured using independent pricing models or other model-based valuation methodologies. Level 2 investment securities include money market securities purchased in the secondary market that use pricing inputs other than quoted prices in active markets and fair value is determined using pricing models or other valuation methodologies such as broker price indications, which are based on quoted prices for identical or similar notes, which are Level 2 input measures. Contingent considerations are valued using a present value factor using credit rating yields which are considered to be a Level 3 fair value measurement. Fair value measurements used for the goodwill and intangible assets </w:t>
      </w:r>
      <w:r>
        <w:rPr>
          <w:rFonts w:ascii="Times New Roman;serif" w:hAnsi="Times New Roman;serif"/>
          <w:b w:val="false"/>
          <w:color w:val="231F20"/>
          <w:sz w:val="20"/>
        </w:rPr>
        <w:t>are based on the discounted cash flow method within the income approach and guideline public company method to value the reporting units, which is considered to be a Level 3 fair value measurement.</w:t>
      </w:r>
      <w:r>
        <w:rPr>
          <w:color w:val="000000"/>
        </w:rPr>
        <w:t xml:space="preserve"> </w:t>
      </w:r>
      <w:r>
        <w:rPr>
          <w:rFonts w:ascii="Times New Roman;serif" w:hAnsi="Times New Roman;serif"/>
          <w:b w:val="false"/>
          <w:color w:val="000000"/>
          <w:sz w:val="20"/>
        </w:rPr>
        <w:t xml:space="preserve">The unobservable inputs utilized in determining the fair value of goodwill based on the income approach primarily include estimated future cash flows, discounted at a rate that approximates the cost of capital of a market participant. Inputs used to calculate the fair value based on the market approach include the revenue and EBITDA multiples based on guidelines for similar publicly traded companies and recent transactions. </w:t>
      </w:r>
      <w:r>
        <w:rPr>
          <w:rFonts w:ascii="Times New Roman;serif" w:hAnsi="Times New Roman;serif"/>
          <w:b w:val="false"/>
          <w:color w:val="231F20"/>
          <w:sz w:val="20"/>
        </w:rPr>
        <w:t>Fair value measurements of derivative warrants liability are based on Binomial Lattice and Monte-Carlo Simulation Models, respectively, which are considered to be Level 3 fair value measurements. The primary unobservable input utilized in determining the fair value of the derivative warrants is the expected volatility of the common stock. Fair value measurements of the convertible note warrant and conversion option derivative liabilities are based on the Black-Derman-Toy model implemented in the Binomial Lattice and Black-Scholes Models, which are considered to be Level 3 fair value measurements. The primary unobservable input utilized in determining the fair value of the convertible note warrant and conversion option derivative liabilities is the expected volatility of the common stock. The senior secured convertible note, which is carried at amortized cost, is considered to be a Level 2 fair value measurement due to observable inputs, such as the term matched risk-free rate and the credit spread, which is used to calculate the discount rate as of the valuation date.</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0" w:after="180"/>
        <w:ind w:left="0" w:right="0" w:firstLine="360"/>
        <w:jc w:val="both"/>
        <w:rPr/>
      </w:pPr>
      <w:r>
        <w:rPr>
          <w:rFonts w:ascii="Times New Roman;serif" w:hAnsi="Times New Roman;serif"/>
          <w:b w:val="false"/>
          <w:color w:val="231F20"/>
          <w:sz w:val="20"/>
        </w:rPr>
        <w:t xml:space="preserve">Cash primarily consists of deposits with banking institutions. </w:t>
      </w:r>
      <w:r>
        <w:rPr>
          <w:rFonts w:ascii="Times New Roman;serif" w:hAnsi="Times New Roman;serif"/>
          <w:b w:val="false"/>
          <w:color w:val="000000"/>
          <w:sz w:val="20"/>
        </w:rPr>
        <w:t xml:space="preserve">The Company considers all highly liquid investments that are both readily convertible into cash and mature within three months from the date of purchase to be cash equivalents.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Accounts Receivable and Allowance for Credit Losses</w:t>
      </w:r>
    </w:p>
    <w:p>
      <w:pPr>
        <w:pStyle w:val="TextBody"/>
        <w:bidi w:val="0"/>
        <w:spacing w:lineRule="auto" w:line="288" w:before="0" w:after="180"/>
        <w:ind w:left="0" w:right="0" w:firstLine="360"/>
        <w:jc w:val="both"/>
        <w:rPr/>
      </w:pPr>
      <w:r>
        <w:rPr>
          <w:rFonts w:ascii="Times New Roman;serif" w:hAnsi="Times New Roman;serif"/>
          <w:b w:val="false"/>
          <w:color w:val="231F20"/>
          <w:sz w:val="20"/>
        </w:rPr>
        <w:t xml:space="preserve">The Company’s accounts receivables are recorded and stated at the amount expected to be collected determined by each payor, net of an allowance for credit losses, under ASC Topic No. 310, </w:t>
      </w:r>
      <w:r>
        <w:rPr>
          <w:rFonts w:ascii="Times New Roman;serif" w:hAnsi="Times New Roman;serif"/>
          <w:b w:val="false"/>
          <w:i/>
          <w:color w:val="231F20"/>
          <w:sz w:val="20"/>
        </w:rPr>
        <w:t xml:space="preserve">Receivables </w:t>
      </w:r>
      <w:r>
        <w:rPr>
          <w:rFonts w:ascii="Times New Roman;serif" w:hAnsi="Times New Roman;serif"/>
          <w:b w:val="false"/>
          <w:color w:val="231F20"/>
          <w:sz w:val="20"/>
        </w:rPr>
        <w:t xml:space="preserve">(“ASC 310”). In accordance with ASC Topic No. 326, </w:t>
      </w:r>
      <w:r>
        <w:rPr>
          <w:rFonts w:ascii="Times New Roman;serif" w:hAnsi="Times New Roman;serif"/>
          <w:b w:val="false"/>
          <w:i/>
          <w:color w:val="231F20"/>
          <w:sz w:val="20"/>
        </w:rPr>
        <w:t xml:space="preserve">Financial Instruments — Credit Losses </w:t>
      </w:r>
      <w:r>
        <w:rPr>
          <w:rFonts w:ascii="Times New Roman;serif" w:hAnsi="Times New Roman;serif"/>
          <w:b w:val="false"/>
          <w:color w:val="231F20"/>
          <w:sz w:val="20"/>
        </w:rPr>
        <w:t xml:space="preserve">(“ASC 326”), the Company recognizes credit losses based on a forward-looking current expected credit losses (“CECL”) model. The Company segregates accounts receivables into portfolio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231F20"/>
          <w:sz w:val="20"/>
        </w:rPr>
      </w:pPr>
      <w:r>
        <w:rPr>
          <w:rFonts w:ascii="Times New Roman;serif" w:hAnsi="Times New Roman;serif"/>
          <w:b w:val="false"/>
          <w:color w:val="231F20"/>
          <w:sz w:val="20"/>
        </w:rPr>
        <w:t>based on shared risk characteristics, such as line of business and payor type, for evaluation of expected credit losses. The Company makes estimates of expected credit losses based upon its assessment of various factors, including the age of accounts receivable balances, default-based statistics, current economic conditions, reasonable and supportable forecasts of future economic conditions, and other factors that may affect its ability to collect from customers. The allowance for credit losses is developed using a loss rate method and is recognized in the Condensed Consolidated Statement of Operations. The uncollectible accounts receivables are written off on a quarterly basis in the period when collection activities cease due to a final determination that all or a portion of the balance is no longer collectible and if there is no pending litigation activity related to the receivable. There was no allowance for credit losses recorded as of March 31, 2026 and December 31, 2025.</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0" w:after="180"/>
        <w:ind w:left="0" w:right="0" w:firstLine="360"/>
        <w:jc w:val="both"/>
        <w:rPr/>
      </w:pPr>
      <w:r>
        <w:rPr>
          <w:rFonts w:ascii="Times New Roman;serif" w:hAnsi="Times New Roman;serif"/>
          <w:b w:val="false"/>
          <w:color w:val="231F20"/>
          <w:sz w:val="20"/>
        </w:rPr>
        <w:t xml:space="preserve">The Company accounts for goodwill under Accounting Standards Codification Topic No. 350, Intangibles - </w:t>
      </w:r>
      <w:r>
        <w:rPr>
          <w:rFonts w:ascii="Times New Roman;serif" w:hAnsi="Times New Roman;serif"/>
          <w:b w:val="false"/>
          <w:i/>
          <w:color w:val="231F20"/>
          <w:sz w:val="20"/>
        </w:rPr>
        <w:t xml:space="preserve">Goodwill and Other </w:t>
      </w:r>
      <w:r>
        <w:rPr>
          <w:rFonts w:ascii="Times New Roman;serif" w:hAnsi="Times New Roman;serif"/>
          <w:b w:val="false"/>
          <w:color w:val="231F20"/>
          <w:sz w:val="20"/>
        </w:rPr>
        <w:t>(“ASC 350”). Goodwill represents the excess of the aggregate purchase price paid over the fair value of the net assets acquired in the Company's business combinations.</w:t>
      </w:r>
    </w:p>
    <w:p>
      <w:pPr>
        <w:pStyle w:val="TextBody"/>
        <w:bidi w:val="0"/>
        <w:spacing w:lineRule="auto" w:line="288" w:before="0" w:after="18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Goodwill is not amortized but is required to be evaluated for impairment at least annually or whenever events or changes in circumstances indicate that the carrying value may not be recoverable. The Company performs its annual testing of impairment for goodwill in the fourth quarter of each year. When impairment indicators are identified, the Company compares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 </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performed a qualitative assessment for the three months ended March 31, 2026 and determined it was not necessary to perform the two-step quantitative analysis. The Company determined there was no impairment for the three months ended March 31, 2026.</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Debt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debt net of debt issuance costs and debt discount. Debt issuance costs and debt discount are capitalized, netted against the related debt for presentation purposes, and amortized to interest expense over the terms of the related debt using the effective interest method. </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Company accounts for bifurcated, debt-classified embedded features separately as derivative liabilities pursuant to ASC Topic No. 815, </w:t>
      </w:r>
      <w:r>
        <w:rPr>
          <w:rFonts w:ascii="Times New Roman;serif" w:hAnsi="Times New Roman;serif"/>
          <w:b w:val="false"/>
          <w:i/>
          <w:color w:val="231F20"/>
          <w:sz w:val="20"/>
        </w:rPr>
        <w:t>Derivatives and Hedging</w:t>
      </w:r>
      <w:r>
        <w:rPr>
          <w:color w:val="231F20"/>
        </w:rPr>
        <w:t xml:space="preserve"> </w:t>
      </w:r>
      <w:r>
        <w:rPr>
          <w:rFonts w:ascii="Times New Roman;serif" w:hAnsi="Times New Roman;serif"/>
          <w:b w:val="false"/>
          <w:color w:val="231F20"/>
          <w:sz w:val="20"/>
        </w:rPr>
        <w:t xml:space="preserve">("ASC 815"). Bifurcated, debt-classified embedded features are recorded at fair value on the Company's balance sheet with subsequent changes in fair value recorded in the Condensed Consolidated Statement of Operations each reporting period. </w:t>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Investments in Marketable Securities</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Company's investments in marketable securities are classified as available-for-sale and are carried at fair value. The Company accounts for its investment securities available for sale using the fair value election pursuant to ASC 825, </w:t>
      </w:r>
      <w:r>
        <w:rPr>
          <w:rFonts w:ascii="Times New Roman;serif" w:hAnsi="Times New Roman;serif"/>
          <w:b w:val="false"/>
          <w:i/>
          <w:color w:val="231F20"/>
          <w:sz w:val="20"/>
        </w:rPr>
        <w:t>Financial Instruments</w:t>
      </w:r>
      <w:r>
        <w:rPr>
          <w:color w:val="231F20"/>
        </w:rPr>
        <w:t xml:space="preserve"> </w:t>
      </w:r>
      <w:r>
        <w:rPr>
          <w:rFonts w:ascii="Times New Roman;serif" w:hAnsi="Times New Roman;serif"/>
          <w:b w:val="false"/>
          <w:color w:val="231F20"/>
          <w:sz w:val="20"/>
        </w:rPr>
        <w:t xml:space="preserve">("ASC 825"), where changes in fair value are recorded in unrealized gains (losses), net on the Company's Condensed Consolidated Statements of Operations. The Company determines the appropriate classification of these investments at the time of purchase and reevaluates such designation at each balance sheet date. The Company’s marketable securities are classified as current assets if the maturity date is less than one year from the balance sheet date. </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Interest income and accretion on marketable securities are included in interest income in the Consolidated Statements of Operations. Realized gains and losses on sales of securities, and other-than-temporary declines in the fair value of marketable securities, if any, are included as a component of other income (expense), net in the Condensed Consolidated Statements of Operations. The cost of securities sold is based on the First In, First Out method.</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At each reporting period, the Company evaluates available-for-sale marketable securities, to the extent the fair value option is not elected, for any credit-related impairment when the fair value of the investment is less than its amortized cost. If the Company determines that the decline in fair value is below the carrying value and this decline is other-than-temporary, credit-related impairment is recognized in the Consolidated Statement of Operations in accordance with ASC 320, </w:t>
      </w:r>
      <w:r>
        <w:rPr>
          <w:rFonts w:ascii="Times New Roman;serif" w:hAnsi="Times New Roman;serif"/>
          <w:b w:val="false"/>
          <w:i/>
          <w:color w:val="231F20"/>
          <w:sz w:val="20"/>
        </w:rPr>
        <w:t>Debt Securities</w:t>
      </w:r>
      <w:r>
        <w:rPr>
          <w:rFonts w:ascii="Times New Roman;serif" w:hAnsi="Times New Roman;serif"/>
          <w:b w:val="false"/>
          <w:color w:val="231F20"/>
          <w:sz w:val="20"/>
        </w:rPr>
        <w:t xml:space="preserve">. </w:t>
      </w:r>
    </w:p>
    <w:p>
      <w:pPr>
        <w:pStyle w:val="TextBody"/>
        <w:bidi w:val="0"/>
        <w:spacing w:lineRule="auto" w:line="288" w:before="0" w:after="240"/>
        <w:jc w:val="both"/>
        <w:rPr>
          <w:rFonts w:ascii="Times New Roman;serif" w:hAnsi="Times New Roman;serif"/>
          <w:b/>
          <w:color w:val="231F20"/>
          <w:sz w:val="20"/>
        </w:rPr>
      </w:pPr>
      <w:r>
        <w:rPr>
          <w:rFonts w:ascii="Times New Roman;serif" w:hAnsi="Times New Roman;serif"/>
          <w:b/>
          <w:color w:val="231F20"/>
          <w:sz w:val="20"/>
        </w:rPr>
        <w:t>Comprehensive Loss</w:t>
      </w:r>
    </w:p>
    <w:p>
      <w:pPr>
        <w:pStyle w:val="TextBody"/>
        <w:bidi w:val="0"/>
        <w:spacing w:lineRule="auto" w:line="288" w:before="0" w:after="18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Comprehensive loss includes net loss to common stockholders as well as other changes in equity that result from transactions and economic events other than those with stockholders. There was no difference between comprehensive loss and net loss to common stockholders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68" w:before="0" w:after="200"/>
        <w:jc w:val="both"/>
        <w:rPr>
          <w:rFonts w:ascii="Times New Roman;serif" w:hAnsi="Times New Roman;serif"/>
          <w:b/>
          <w:color w:val="231F20"/>
          <w:sz w:val="20"/>
        </w:rPr>
      </w:pPr>
      <w:r>
        <w:rPr>
          <w:rFonts w:ascii="Times New Roman;serif" w:hAnsi="Times New Roman;serif"/>
          <w:b/>
          <w:color w:val="231F20"/>
          <w:sz w:val="20"/>
        </w:rPr>
        <w:t>Recently Issued and Adopted Accounting Standards</w:t>
      </w:r>
    </w:p>
    <w:p>
      <w:pPr>
        <w:pStyle w:val="TextBody"/>
        <w:bidi w:val="0"/>
        <w:spacing w:lineRule="auto" w:line="268" w:before="0" w:after="0"/>
        <w:ind w:left="0" w:right="0" w:firstLine="360"/>
        <w:jc w:val="both"/>
        <w:rPr/>
      </w:pPr>
      <w:r>
        <w:rPr>
          <w:rFonts w:ascii="Times New Roman;serif" w:hAnsi="Times New Roman;serif"/>
          <w:b w:val="false"/>
          <w:color w:val="000000"/>
          <w:sz w:val="20"/>
        </w:rPr>
        <w:t>In December 2023, the FASB issued ASU 2023-09</w:t>
      </w:r>
      <w:r>
        <w:rPr>
          <w:rFonts w:ascii="Times New Roman;serif" w:hAnsi="Times New Roman;serif"/>
          <w:b w:val="false"/>
          <w:i/>
          <w:color w:val="000000"/>
          <w:sz w:val="20"/>
        </w:rPr>
        <w:t>, Income Taxes (Topic 740): Improvement to Income Tax Disclosures ("ASU 2023-09")</w:t>
      </w:r>
      <w:r>
        <w:rPr>
          <w:rFonts w:ascii="Times New Roman;serif" w:hAnsi="Times New Roman;serif"/>
          <w:b w:val="false"/>
          <w:color w:val="000000"/>
          <w:sz w:val="20"/>
        </w:rPr>
        <w:t>. The new standard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year ending December 31, 2025 and continuing to provide the pre-ASU disclosures for the prior periods, or may apply the amendments retrospectively by providing the revised disclosures for all periods presented. The Company adopted ASU 2023-09 as of December 31, 2025. The adoption did not have a material impact on the Company's financial statements.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 xml:space="preserve">In November 2024, the FASB issued ASU 2024-03, </w:t>
      </w:r>
      <w:r>
        <w:rPr>
          <w:color w:val="000000"/>
        </w:rPr>
        <w:t>“</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ASU 2024-03 does not change the expense captions an entity presents on the face of the income statement; rather it requires disaggregation of certain expense captions into specified categories in disclosures within the footnotes to the financial statements. ASU 2024-03 requires footnote disclosure about specific expenses to disaggregate,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recognized as part of oil- and gas-production activities or other types of depletion expenses. The tabular disclosure would also include certain other expenses, when applicable. ASU 2024-03 does not change or remove existing expense disclosure requirements; however, it may affect where that information appears in the footnotes to the financial statements. ASU 2024-03 is effective for annual periods beginning after December 15, 2026, and interim reporting periods beginning after December 15, 2027. The requirements will be applied prospectively with the option for retrospective application. Early adoption is permitted. The Company will adopt ASU 2024-03 at the beginning of fiscal year 2027. The Company is currently evaluating the disclosure requirements and its effect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3. Significant Risks and Uncertainties Including Business and Credit Concentrations</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Credit Risk</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Financial instruments that potentially subject the Company to concentrations of credit risk consist primarily of cash, accounts receivable, and investment securities.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Cash accounts in a financial institution may, at times, exceed the Federal Deposit Insurance Corporation coverage of $250 per account ownership category. The Company has not experienced losses on these accounts, and management believes the Company is not exposed to significant risks on such accounts.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Company’s accounts receivable has implicit collection risk. The Company grants credit without collateral to their patients, most of whom are local residents and are insured under third-party payor agreements. The Company believes this risk is partially mitigated by the Company’s establishment of long-term agreements and relationships with third-party payors that provide the Company with insight into historic collectability and improve the collections process.</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Revenue Concentration Risk</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concentration of net revenue on a percentage basis for major payors for the three months ended March 31, 2026 and 2025 are as follows:</w:t>
      </w:r>
    </w:p>
    <w:tbl>
      <w:tblPr>
        <w:tblW w:w="6974" w:type="dxa"/>
        <w:jc w:val="left"/>
        <w:tblInd w:w="0" w:type="dxa"/>
        <w:tblLayout w:type="fixed"/>
        <w:tblCellMar>
          <w:top w:w="28" w:type="dxa"/>
          <w:left w:w="28" w:type="dxa"/>
          <w:bottom w:w="28" w:type="dxa"/>
          <w:right w:w="28" w:type="dxa"/>
        </w:tblCellMar>
      </w:tblPr>
      <w:tblGrid>
        <w:gridCol w:w="1340"/>
        <w:gridCol w:w="1178"/>
        <w:gridCol w:w="1186"/>
        <w:gridCol w:w="233"/>
        <w:gridCol w:w="233"/>
        <w:gridCol w:w="579"/>
        <w:gridCol w:w="233"/>
        <w:gridCol w:w="233"/>
        <w:gridCol w:w="233"/>
        <w:gridCol w:w="233"/>
        <w:gridCol w:w="233"/>
        <w:gridCol w:w="579"/>
        <w:gridCol w:w="109"/>
        <w:gridCol w:w="109"/>
        <w:gridCol w:w="109"/>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Patient Services Net Revenue:</w:t>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Payor A</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w:t>
      </w:r>
      <w:r>
        <w:rPr>
          <w:rFonts w:ascii="Times New Roman;serif" w:hAnsi="Times New Roman;serif"/>
          <w:b w:val="false"/>
          <w:color w:val="000000"/>
          <w:sz w:val="20"/>
        </w:rPr>
        <w:t>concentration</w:t>
      </w:r>
      <w:r>
        <w:rPr>
          <w:color w:val="231F20"/>
        </w:rPr>
        <w:t xml:space="preserve"> </w:t>
      </w:r>
      <w:r>
        <w:rPr>
          <w:rFonts w:ascii="Times New Roman;serif" w:hAnsi="Times New Roman;serif"/>
          <w:b w:val="false"/>
          <w:color w:val="231F20"/>
          <w:sz w:val="20"/>
        </w:rPr>
        <w:t>of gross receivables on a percentage basis for major payors at March 31, 2026 and December 31, 2025 are as follows:</w:t>
      </w:r>
    </w:p>
    <w:tbl>
      <w:tblPr>
        <w:tblW w:w="8650" w:type="dxa"/>
        <w:jc w:val="left"/>
        <w:tblInd w:w="0" w:type="dxa"/>
        <w:tblLayout w:type="fixed"/>
        <w:tblCellMar>
          <w:top w:w="28" w:type="dxa"/>
          <w:left w:w="28" w:type="dxa"/>
          <w:bottom w:w="28" w:type="dxa"/>
          <w:right w:w="28" w:type="dxa"/>
        </w:tblCellMar>
      </w:tblPr>
      <w:tblGrid>
        <w:gridCol w:w="1851"/>
        <w:gridCol w:w="1630"/>
        <w:gridCol w:w="1634"/>
        <w:gridCol w:w="319"/>
        <w:gridCol w:w="319"/>
        <w:gridCol w:w="801"/>
        <w:gridCol w:w="109"/>
        <w:gridCol w:w="109"/>
        <w:gridCol w:w="109"/>
        <w:gridCol w:w="359"/>
        <w:gridCol w:w="359"/>
        <w:gridCol w:w="1051"/>
      </w:tblGrid>
      <w:tr>
        <w:trPr/>
        <w:tc>
          <w:tcPr>
            <w:tcW w:w="185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Gross Receivables of Patient Services Revenue:</w:t>
            </w:r>
          </w:p>
        </w:tc>
        <w:tc>
          <w:tcPr>
            <w:tcW w:w="143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Payor B</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8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left"/>
        <w:rPr/>
      </w:pPr>
      <w:r>
        <w:rPr>
          <w:rFonts w:ascii="Times New Roman;serif" w:hAnsi="Times New Roman;serif"/>
          <w:b w:val="false"/>
          <w:color w:val="231F20"/>
          <w:sz w:val="20"/>
        </w:rPr>
        <w:t xml:space="preserve">All </w:t>
      </w:r>
      <w:r>
        <w:rPr>
          <w:rFonts w:ascii="Times New Roman;serif" w:hAnsi="Times New Roman;serif"/>
          <w:b w:val="false"/>
          <w:color w:val="000000"/>
          <w:sz w:val="20"/>
        </w:rPr>
        <w:t>of</w:t>
      </w:r>
      <w:r>
        <w:rPr>
          <w:color w:val="231F20"/>
        </w:rPr>
        <w:t xml:space="preserve"> </w:t>
      </w:r>
      <w:r>
        <w:rPr>
          <w:rFonts w:ascii="Times New Roman;serif" w:hAnsi="Times New Roman;serif"/>
          <w:b w:val="false"/>
          <w:color w:val="231F20"/>
          <w:sz w:val="20"/>
        </w:rPr>
        <w:t>the Company’s revenue is generated from customers located in the United States.</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Vendor Concentration Risk</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concentration of cost of sales on a percentage basis for major vendors for the three months ended March 31, 2026 and 2025 are as follows:</w:t>
      </w:r>
    </w:p>
    <w:tbl>
      <w:tblPr>
        <w:tblW w:w="5580" w:type="dxa"/>
        <w:jc w:val="left"/>
        <w:tblInd w:w="0" w:type="dxa"/>
        <w:tblLayout w:type="fixed"/>
        <w:tblCellMar>
          <w:top w:w="28" w:type="dxa"/>
          <w:left w:w="28" w:type="dxa"/>
          <w:bottom w:w="28" w:type="dxa"/>
          <w:right w:w="28" w:type="dxa"/>
        </w:tblCellMar>
      </w:tblPr>
      <w:tblGrid>
        <w:gridCol w:w="836"/>
        <w:gridCol w:w="735"/>
        <w:gridCol w:w="739"/>
        <w:gridCol w:w="233"/>
        <w:gridCol w:w="233"/>
        <w:gridCol w:w="579"/>
        <w:gridCol w:w="233"/>
        <w:gridCol w:w="233"/>
        <w:gridCol w:w="233"/>
        <w:gridCol w:w="233"/>
        <w:gridCol w:w="233"/>
        <w:gridCol w:w="579"/>
        <w:gridCol w:w="109"/>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Direct Costs:</w:t>
            </w:r>
          </w:p>
        </w:tc>
        <w:tc>
          <w:tcPr>
            <w:tcW w:w="104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Vendor A</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5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5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The concentration of gross payables on a percentage basis for major payors at March 31, 2026 and December 31, 2025 are as follows:</w:t>
      </w:r>
    </w:p>
    <w:tbl>
      <w:tblPr>
        <w:tblW w:w="6070" w:type="dxa"/>
        <w:jc w:val="left"/>
        <w:tblInd w:w="0" w:type="dxa"/>
        <w:tblLayout w:type="fixed"/>
        <w:tblCellMar>
          <w:top w:w="28" w:type="dxa"/>
          <w:left w:w="28" w:type="dxa"/>
          <w:bottom w:w="28" w:type="dxa"/>
          <w:right w:w="28" w:type="dxa"/>
        </w:tblCellMar>
      </w:tblPr>
      <w:tblGrid>
        <w:gridCol w:w="917"/>
        <w:gridCol w:w="806"/>
        <w:gridCol w:w="811"/>
        <w:gridCol w:w="319"/>
        <w:gridCol w:w="319"/>
        <w:gridCol w:w="801"/>
        <w:gridCol w:w="109"/>
        <w:gridCol w:w="109"/>
        <w:gridCol w:w="109"/>
        <w:gridCol w:w="493"/>
        <w:gridCol w:w="493"/>
        <w:gridCol w:w="78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Gross Payables:</w:t>
            </w:r>
          </w:p>
        </w:tc>
        <w:tc>
          <w:tcPr>
            <w:tcW w:w="143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Vendor A</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8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78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Vendor B</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8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before="0" w:after="200"/>
        <w:ind w:left="0" w:right="0" w:firstLine="360"/>
        <w:jc w:val="righ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4. Accounts Receivable</w:t>
      </w:r>
    </w:p>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The Company’s accounts receivable consists primarily of amounts due from third-party payors and patients. See Note 2 for a summary of the Company’s policies relating to accounts receivable and allowance for credit losses.</w:t>
      </w:r>
    </w:p>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Accounts Receivable as of March 31, 2026 and December 31, 2025 consist of the following:</w:t>
      </w:r>
    </w:p>
    <w:tbl>
      <w:tblPr>
        <w:tblW w:w="7841" w:type="dxa"/>
        <w:jc w:val="left"/>
        <w:tblInd w:w="0" w:type="dxa"/>
        <w:tblLayout w:type="fixed"/>
        <w:tblCellMar>
          <w:top w:w="28" w:type="dxa"/>
          <w:left w:w="28" w:type="dxa"/>
          <w:bottom w:w="28" w:type="dxa"/>
          <w:right w:w="28" w:type="dxa"/>
        </w:tblCellMar>
      </w:tblPr>
      <w:tblGrid>
        <w:gridCol w:w="1558"/>
        <w:gridCol w:w="1371"/>
        <w:gridCol w:w="1375"/>
        <w:gridCol w:w="292"/>
        <w:gridCol w:w="998"/>
        <w:gridCol w:w="150"/>
        <w:gridCol w:w="109"/>
        <w:gridCol w:w="109"/>
        <w:gridCol w:w="109"/>
        <w:gridCol w:w="344"/>
        <w:gridCol w:w="1175"/>
        <w:gridCol w:w="251"/>
      </w:tblGrid>
      <w:tr>
        <w:trPr/>
        <w:tc>
          <w:tcPr>
            <w:tcW w:w="155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Oral drug accounts receivable (Specialty Pharmacy)</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25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Capitated accounts receivable (Patient Services)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3,213</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FFS accounts receivable, net (Patient Services)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33,639 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35,376</w:t>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trade receivables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12,952</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58,134 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58,998 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There was no allowance for credit losses as of March 31, 2026 and December 31, 2025.</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As of January 1, 2025, the accounts receivable balance amounted to $48,335. </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During the three months ended March 31, 2026 and 2025, the Company had no net bad debt recoveries and bad debt expense. Credit losses are a result of accounts receivable on completed contracts that were deemed uncollectible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5. Revenue</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recognizes revenue in accordance with ASC 606 on the basis of its satisfaction of outstanding performance obligations. The Company typically fulfills its performance obligations over time, either over the course of a single treatment (fee-for-service or "FFS"), a month (capitation), or a number of months (clinical research). The Company also has revenue that is satisfied at a point in time (specialty pharmacy).</w:t>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Disaggregation of Revenue</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categorizes revenue based on various factors such as the nature of contracts, payors, order to billing arrangements, and cash flows received by the Company, as follows:</w:t>
      </w:r>
    </w:p>
    <w:tbl>
      <w:tblPr>
        <w:tblW w:w="6595" w:type="dxa"/>
        <w:jc w:val="left"/>
        <w:tblInd w:w="0" w:type="dxa"/>
        <w:tblLayout w:type="fixed"/>
        <w:tblCellMar>
          <w:top w:w="28" w:type="dxa"/>
          <w:left w:w="28" w:type="dxa"/>
          <w:bottom w:w="28" w:type="dxa"/>
          <w:right w:w="28" w:type="dxa"/>
        </w:tblCellMar>
      </w:tblPr>
      <w:tblGrid>
        <w:gridCol w:w="1243"/>
        <w:gridCol w:w="1094"/>
        <w:gridCol w:w="1098"/>
        <w:gridCol w:w="224"/>
        <w:gridCol w:w="880"/>
        <w:gridCol w:w="116"/>
        <w:gridCol w:w="116"/>
        <w:gridCol w:w="116"/>
        <w:gridCol w:w="116"/>
        <w:gridCol w:w="224"/>
        <w:gridCol w:w="880"/>
        <w:gridCol w:w="116"/>
        <w:gridCol w:w="109"/>
        <w:gridCol w:w="109"/>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78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vMerge w:val="continue"/>
            <w:tcBorders/>
            <w:tcMar>
              <w:top w:w="0" w:type="dxa"/>
              <w:left w:w="0" w:type="dxa"/>
              <w:bottom w:w="0" w:type="dxa"/>
              <w:right w:w="0" w:type="dxa"/>
            </w:tcMar>
            <w:vAlign w:val="center"/>
          </w:tcPr>
          <w:p>
            <w:pPr>
              <w:pStyle w:val="Normal"/>
              <w:bidi w:val="0"/>
              <w:jc w:val="left"/>
              <w:rPr/>
            </w:pPr>
            <w:r>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122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Capitated revenue</w:t>
            </w:r>
          </w:p>
        </w:tc>
        <w:tc>
          <w:tcPr>
            <w:tcW w:w="2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FFS revenue</w:t>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32,156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0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59,087 </w:t>
            </w:r>
          </w:p>
        </w:tc>
        <w:tc>
          <w:tcPr>
            <w:tcW w:w="11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53,068 </w:t>
            </w:r>
          </w:p>
        </w:tc>
        <w:tc>
          <w:tcPr>
            <w:tcW w:w="11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 revenue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87,541 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research trials and other revenue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147,441 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104,406 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Refer to Note 19 for Segment Reporting for disaggregation of revenue by reporting segment.</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Contract Asset and Liabilities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Under ASC 606, contract assets represent rights to payment for performance contingent on something other than the passage of time and accounts receivable are rights to payment for performance without contingencies. The Company does not have any contract assets as of March 31, 2026, January 1, 2025, and December 31, 2025. Refer to Note 4 for accounts receivable as of March 31, 2026 and December 31, 2025.</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Contract liabilities represent cash that has been received for contracts, but for which performance is still unsatisfied. As of January 1, 2025, December 31, 2025, and March 31, 2026, the contract liabilities amounted to $0. During the three month periods ended March 31, 2026 and 2025, the Company recognized no revenue related to deferred capitation revenue received (contract liability) as of the beginning of each respective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Remaining Unsatisfied Performance Obligations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accounting terms for the Company’s patient services and specialty pharmacy contracts do not extend past a year in duration. Additionally, the Company applies the ‘as invoiced’ practical expedient to its clinical research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6. Inventories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purchases intravenous chemotherapy drugs and oral prescription drugs from various suppliers, however substantially from one supplier.</w:t>
      </w:r>
    </w:p>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The Company’s inventories as of March 31, 2026 and December 31, 2025 were as follows:</w:t>
      </w:r>
    </w:p>
    <w:tbl>
      <w:tblPr>
        <w:tblW w:w="5261" w:type="dxa"/>
        <w:jc w:val="left"/>
        <w:tblInd w:w="0" w:type="dxa"/>
        <w:tblLayout w:type="fixed"/>
        <w:tblCellMar>
          <w:top w:w="28" w:type="dxa"/>
          <w:left w:w="28" w:type="dxa"/>
          <w:bottom w:w="28" w:type="dxa"/>
          <w:right w:w="28" w:type="dxa"/>
        </w:tblCellMar>
      </w:tblPr>
      <w:tblGrid>
        <w:gridCol w:w="624"/>
        <w:gridCol w:w="549"/>
        <w:gridCol w:w="551"/>
        <w:gridCol w:w="292"/>
        <w:gridCol w:w="998"/>
        <w:gridCol w:w="150"/>
        <w:gridCol w:w="109"/>
        <w:gridCol w:w="109"/>
        <w:gridCol w:w="109"/>
        <w:gridCol w:w="344"/>
        <w:gridCol w:w="1175"/>
        <w:gridCol w:w="251"/>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Oral drug inventory</w:t>
            </w:r>
          </w:p>
        </w:tc>
        <w:tc>
          <w:tcPr>
            <w:tcW w:w="29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10,745 </w:t>
            </w:r>
          </w:p>
        </w:tc>
        <w:tc>
          <w:tcPr>
            <w:tcW w:w="15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8,796 </w:t>
            </w:r>
          </w:p>
        </w:tc>
        <w:tc>
          <w:tcPr>
            <w:tcW w:w="25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IV drug inventory</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8,079</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9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24,290 </w:t>
            </w:r>
          </w:p>
        </w:tc>
        <w:tc>
          <w:tcPr>
            <w:tcW w:w="15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16,875 </w:t>
            </w:r>
          </w:p>
        </w:tc>
        <w:tc>
          <w:tcPr>
            <w:tcW w:w="2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7. Marketable Securities and Fair Value Measurements</w:t>
      </w:r>
    </w:p>
    <w:p>
      <w:pPr>
        <w:pStyle w:val="TextBody"/>
        <w:bidi w:val="0"/>
        <w:spacing w:lineRule="auto" w:line="288" w:before="0" w:after="200"/>
        <w:ind w:left="0" w:right="0" w:firstLine="360"/>
        <w:jc w:val="both"/>
        <w:rPr>
          <w:rFonts w:ascii="Times New Roman;serif" w:hAnsi="Times New Roman;serif"/>
          <w:b w:val="false"/>
          <w:i/>
          <w:color w:val="231F20"/>
          <w:sz w:val="20"/>
        </w:rPr>
      </w:pPr>
      <w:r>
        <w:rPr>
          <w:rFonts w:ascii="Times New Roman;serif" w:hAnsi="Times New Roman;serif"/>
          <w:b w:val="false"/>
          <w:i/>
          <w:color w:val="231F20"/>
          <w:sz w:val="20"/>
        </w:rPr>
        <w:t>Marketable Securities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accounted for its investment securities as available for sale using the fair value election pursuant to ASC 825, where changes in fair value are recorded in Other, net non-operating income (expense) on the Company's Condensed Consolidated Statements of Operations. The Company’s investments in cash equivalents at March 31, 2026 and December 31, 2025 is as follows:</w:t>
      </w:r>
    </w:p>
    <w:tbl>
      <w:tblPr>
        <w:tblW w:w="9581" w:type="dxa"/>
        <w:jc w:val="left"/>
        <w:tblInd w:w="0" w:type="dxa"/>
        <w:tblLayout w:type="fixed"/>
        <w:tblCellMar>
          <w:top w:w="28" w:type="dxa"/>
          <w:left w:w="28" w:type="dxa"/>
          <w:bottom w:w="28" w:type="dxa"/>
          <w:right w:w="28" w:type="dxa"/>
        </w:tblCellMar>
      </w:tblPr>
      <w:tblGrid>
        <w:gridCol w:w="651"/>
        <w:gridCol w:w="574"/>
        <w:gridCol w:w="575"/>
        <w:gridCol w:w="289"/>
        <w:gridCol w:w="987"/>
        <w:gridCol w:w="149"/>
        <w:gridCol w:w="109"/>
        <w:gridCol w:w="109"/>
        <w:gridCol w:w="109"/>
        <w:gridCol w:w="614"/>
        <w:gridCol w:w="1182"/>
        <w:gridCol w:w="318"/>
        <w:gridCol w:w="109"/>
        <w:gridCol w:w="109"/>
        <w:gridCol w:w="109"/>
        <w:gridCol w:w="632"/>
        <w:gridCol w:w="1216"/>
        <w:gridCol w:w="327"/>
        <w:gridCol w:w="109"/>
        <w:gridCol w:w="109"/>
        <w:gridCol w:w="109"/>
        <w:gridCol w:w="211"/>
        <w:gridCol w:w="72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2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15,904 </w:t>
            </w:r>
          </w:p>
        </w:tc>
        <w:tc>
          <w:tcPr>
            <w:tcW w:w="1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15,904 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tbl>
      <w:tblPr>
        <w:tblW w:w="9581" w:type="dxa"/>
        <w:jc w:val="left"/>
        <w:tblInd w:w="0" w:type="dxa"/>
        <w:tblLayout w:type="fixed"/>
        <w:tblCellMar>
          <w:top w:w="28" w:type="dxa"/>
          <w:left w:w="28" w:type="dxa"/>
          <w:bottom w:w="28" w:type="dxa"/>
          <w:right w:w="28" w:type="dxa"/>
        </w:tblCellMar>
      </w:tblPr>
      <w:tblGrid>
        <w:gridCol w:w="651"/>
        <w:gridCol w:w="574"/>
        <w:gridCol w:w="575"/>
        <w:gridCol w:w="289"/>
        <w:gridCol w:w="987"/>
        <w:gridCol w:w="149"/>
        <w:gridCol w:w="109"/>
        <w:gridCol w:w="109"/>
        <w:gridCol w:w="109"/>
        <w:gridCol w:w="614"/>
        <w:gridCol w:w="1182"/>
        <w:gridCol w:w="318"/>
        <w:gridCol w:w="109"/>
        <w:gridCol w:w="109"/>
        <w:gridCol w:w="109"/>
        <w:gridCol w:w="632"/>
        <w:gridCol w:w="1216"/>
        <w:gridCol w:w="327"/>
        <w:gridCol w:w="109"/>
        <w:gridCol w:w="109"/>
        <w:gridCol w:w="109"/>
        <w:gridCol w:w="211"/>
        <w:gridCol w:w="72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2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27,230 </w:t>
            </w:r>
          </w:p>
        </w:tc>
        <w:tc>
          <w:tcPr>
            <w:tcW w:w="1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27,230 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 xml:space="preserve">The contractual maturities of the Company's investments in cash equivalents as of December 31, 2025 is as follows: </w:t>
      </w:r>
    </w:p>
    <w:tbl>
      <w:tblPr>
        <w:tblW w:w="10205" w:type="dxa"/>
        <w:jc w:val="left"/>
        <w:tblInd w:w="0" w:type="dxa"/>
        <w:tblLayout w:type="fixed"/>
        <w:tblCellMar>
          <w:top w:w="28" w:type="dxa"/>
          <w:left w:w="28" w:type="dxa"/>
          <w:bottom w:w="28" w:type="dxa"/>
          <w:right w:w="28" w:type="dxa"/>
        </w:tblCellMar>
      </w:tblPr>
      <w:tblGrid>
        <w:gridCol w:w="811"/>
        <w:gridCol w:w="684"/>
        <w:gridCol w:w="687"/>
        <w:gridCol w:w="367"/>
        <w:gridCol w:w="1255"/>
        <w:gridCol w:w="189"/>
        <w:gridCol w:w="109"/>
        <w:gridCol w:w="109"/>
        <w:gridCol w:w="109"/>
        <w:gridCol w:w="758"/>
        <w:gridCol w:w="1464"/>
        <w:gridCol w:w="399"/>
        <w:gridCol w:w="109"/>
        <w:gridCol w:w="109"/>
        <w:gridCol w:w="109"/>
        <w:gridCol w:w="441"/>
        <w:gridCol w:w="849"/>
        <w:gridCol w:w="227"/>
        <w:gridCol w:w="109"/>
        <w:gridCol w:w="109"/>
        <w:gridCol w:w="109"/>
        <w:gridCol w:w="211"/>
        <w:gridCol w:w="721"/>
        <w:gridCol w:w="161"/>
      </w:tblGrid>
      <w:tr>
        <w:trPr/>
        <w:tc>
          <w:tcPr>
            <w:tcW w:w="8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March 31, 2026</w:t>
            </w:r>
            <w:r>
              <w:rPr>
                <w:color w:val="000000"/>
              </w:rPr>
              <w:t xml:space="preserve"> </w:t>
            </w:r>
            <w:r>
              <w:rPr>
                <w:rFonts w:ascii="Times New Roman;serif" w:hAnsi="Times New Roman;serif"/>
                <w:b w:val="false"/>
                <w:i/>
                <w:color w:val="000000"/>
                <w:sz w:val="20"/>
              </w:rPr>
              <w:t>(in thousands)</w:t>
            </w:r>
          </w:p>
        </w:tc>
        <w:tc>
          <w:tcPr>
            <w:tcW w:w="1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Due in 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Due After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Due After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15,904 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60"/>
        <w:gridCol w:w="731"/>
        <w:gridCol w:w="733"/>
        <w:gridCol w:w="361"/>
        <w:gridCol w:w="1233"/>
        <w:gridCol w:w="186"/>
        <w:gridCol w:w="109"/>
        <w:gridCol w:w="109"/>
        <w:gridCol w:w="109"/>
        <w:gridCol w:w="736"/>
        <w:gridCol w:w="1421"/>
        <w:gridCol w:w="387"/>
        <w:gridCol w:w="109"/>
        <w:gridCol w:w="109"/>
        <w:gridCol w:w="109"/>
        <w:gridCol w:w="431"/>
        <w:gridCol w:w="831"/>
        <w:gridCol w:w="222"/>
        <w:gridCol w:w="109"/>
        <w:gridCol w:w="109"/>
        <w:gridCol w:w="109"/>
        <w:gridCol w:w="211"/>
        <w:gridCol w:w="721"/>
        <w:gridCol w:w="160"/>
      </w:tblGrid>
      <w:tr>
        <w:trPr/>
        <w:tc>
          <w:tcPr>
            <w:tcW w:w="86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December 31, 2025</w:t>
            </w:r>
            <w:r>
              <w:rPr>
                <w:color w:val="000000"/>
              </w:rPr>
              <w:t xml:space="preserve"> </w:t>
            </w:r>
            <w:r>
              <w:rPr>
                <w:rFonts w:ascii="Times New Roman;serif" w:hAnsi="Times New Roman;serif"/>
                <w:b w:val="false"/>
                <w:i/>
                <w:color w:val="000000"/>
                <w:sz w:val="20"/>
              </w:rPr>
              <w:t>(in thousands)</w:t>
            </w:r>
          </w:p>
        </w:tc>
        <w:tc>
          <w:tcPr>
            <w:tcW w:w="17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Due in 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Due After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Due After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Accrued interest receivable on cash equivalents was $53 at March 31, 2026 and December 31, 2025, and is included within other receivables in the Condensed Consolidated Balance Sheets.</w:t>
      </w:r>
    </w:p>
    <w:p>
      <w:pPr>
        <w:pStyle w:val="TextBody"/>
        <w:bidi w:val="0"/>
        <w:spacing w:lineRule="auto" w:line="288" w:before="0" w:after="200"/>
        <w:jc w:val="both"/>
        <w:rPr>
          <w:rFonts w:ascii="Times New Roman;serif" w:hAnsi="Times New Roman;serif"/>
          <w:b w:val="false"/>
          <w:i/>
          <w:color w:val="231F20"/>
          <w:sz w:val="20"/>
        </w:rPr>
      </w:pPr>
      <w:r>
        <w:rPr>
          <w:rFonts w:ascii="Times New Roman;serif" w:hAnsi="Times New Roman;serif"/>
          <w:b w:val="false"/>
          <w:i/>
          <w:color w:val="231F20"/>
          <w:sz w:val="20"/>
        </w:rPr>
        <w:t>Fair Value Measurements</w:t>
      </w:r>
    </w:p>
    <w:p>
      <w:pPr>
        <w:pStyle w:val="TextBody"/>
        <w:bidi w:val="0"/>
        <w:spacing w:lineRule="auto" w:line="288" w:before="0" w:after="200"/>
        <w:jc w:val="both"/>
        <w:rPr>
          <w:rFonts w:ascii="Times New Roman;serif" w:hAnsi="Times New Roman;serif"/>
          <w:b w:val="false"/>
          <w:color w:val="231F20"/>
          <w:sz w:val="20"/>
        </w:rPr>
      </w:pPr>
      <w:r>
        <w:rPr>
          <w:rFonts w:ascii="Times New Roman;serif" w:hAnsi="Times New Roman;serif"/>
          <w:b w:val="false"/>
          <w:color w:val="231F20"/>
          <w:sz w:val="20"/>
        </w:rPr>
        <w:t>The following table presents the carrying amounts of the Company’s recurring and non-recurring fair value measurements at March 31, 2026 and December 31, 2025:</w:t>
      </w:r>
    </w:p>
    <w:tbl>
      <w:tblPr>
        <w:tblW w:w="7920" w:type="dxa"/>
        <w:jc w:val="left"/>
        <w:tblInd w:w="0" w:type="dxa"/>
        <w:tblLayout w:type="fixed"/>
        <w:tblCellMar>
          <w:top w:w="28" w:type="dxa"/>
          <w:left w:w="28" w:type="dxa"/>
          <w:bottom w:w="28" w:type="dxa"/>
          <w:right w:w="28" w:type="dxa"/>
        </w:tblCellMar>
      </w:tblPr>
      <w:tblGrid>
        <w:gridCol w:w="1212"/>
        <w:gridCol w:w="1064"/>
        <w:gridCol w:w="1068"/>
        <w:gridCol w:w="211"/>
        <w:gridCol w:w="721"/>
        <w:gridCol w:w="109"/>
        <w:gridCol w:w="109"/>
        <w:gridCol w:w="109"/>
        <w:gridCol w:w="109"/>
        <w:gridCol w:w="213"/>
        <w:gridCol w:w="411"/>
        <w:gridCol w:w="110"/>
        <w:gridCol w:w="109"/>
        <w:gridCol w:w="109"/>
        <w:gridCol w:w="109"/>
        <w:gridCol w:w="211"/>
        <w:gridCol w:w="721"/>
        <w:gridCol w:w="109"/>
        <w:gridCol w:w="109"/>
        <w:gridCol w:w="109"/>
        <w:gridCol w:w="109"/>
        <w:gridCol w:w="213"/>
        <w:gridCol w:w="411"/>
        <w:gridCol w:w="155"/>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warrant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option derivative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231F20"/>
          <w:sz w:val="20"/>
        </w:rPr>
      </w:pPr>
      <w:r>
        <w:rPr>
          <w:rFonts w:ascii="Times New Roman;serif" w:hAnsi="Times New Roman;serif"/>
          <w:b w:val="false"/>
          <w:color w:val="231F20"/>
          <w:sz w:val="20"/>
        </w:rPr>
        <w:t>There were no transfers between levels for the three months ended March 31, 2026 and twelve months ended December 31, 2025.</w:t>
      </w:r>
    </w:p>
    <w:tbl>
      <w:tblPr>
        <w:tblW w:w="8017" w:type="dxa"/>
        <w:jc w:val="left"/>
        <w:tblInd w:w="0" w:type="dxa"/>
        <w:tblLayout w:type="fixed"/>
        <w:tblCellMar>
          <w:top w:w="28" w:type="dxa"/>
          <w:left w:w="28" w:type="dxa"/>
          <w:bottom w:w="28" w:type="dxa"/>
          <w:right w:w="28" w:type="dxa"/>
        </w:tblCellMar>
      </w:tblPr>
      <w:tblGrid>
        <w:gridCol w:w="1212"/>
        <w:gridCol w:w="1064"/>
        <w:gridCol w:w="1068"/>
        <w:gridCol w:w="211"/>
        <w:gridCol w:w="721"/>
        <w:gridCol w:w="109"/>
        <w:gridCol w:w="109"/>
        <w:gridCol w:w="109"/>
        <w:gridCol w:w="109"/>
        <w:gridCol w:w="213"/>
        <w:gridCol w:w="411"/>
        <w:gridCol w:w="110"/>
        <w:gridCol w:w="109"/>
        <w:gridCol w:w="109"/>
        <w:gridCol w:w="109"/>
        <w:gridCol w:w="211"/>
        <w:gridCol w:w="721"/>
        <w:gridCol w:w="109"/>
        <w:gridCol w:w="109"/>
        <w:gridCol w:w="109"/>
        <w:gridCol w:w="109"/>
        <w:gridCol w:w="246"/>
        <w:gridCol w:w="475"/>
        <w:gridCol w:w="155"/>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warrant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option derivative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 measures its investments (including cash equivalents, marketable securities, and non-current investments) at fair value on a recurring basis and classifies those instruments within Level 2 of the fair value hierarchy. Investment securities, including U.S. Treasury Bills purchased in the secondary market and U.S. Treasury bonds, are classified within Level 2 of the fair value hierarchy because pricing inputs are other than quoted prices in active markets, which are either directly or indirectly observable as of the reporting date, and fair value is determined using models or other valuation methodologies. </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measures its private derivative warrants on a recurring basis and classifies those instruments within Level 2 of the fair value hierarchy because the valuation is based on the observable input of a similar instrument. The Company measures its convertible note warrant derivative liability, optional redemption derivative liability and conversion option derivative liability on a recurring basis and classifies those instruments within level 3 of the fair value hierarchy because unobservable inputs are used to measure fair value. See Note 2 for a summary of the Company’s policies relating to fair value measurements, and Note 11 for more detail on the convertible note warrant, optional redemption, and conversion option derivative liabilities.</w:t>
      </w:r>
    </w:p>
    <w:p>
      <w:pPr>
        <w:pStyle w:val="TextBody"/>
        <w:bidi w:val="0"/>
        <w:spacing w:before="0" w:after="18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presents information about the Company’s financial liabilities that are measured at fair value on a recurring basis at March 31, 2026:</w:t>
      </w:r>
    </w:p>
    <w:tbl>
      <w:tblPr>
        <w:tblW w:w="9580" w:type="dxa"/>
        <w:jc w:val="left"/>
        <w:tblInd w:w="0" w:type="dxa"/>
        <w:tblLayout w:type="fixed"/>
        <w:tblCellMar>
          <w:top w:w="28" w:type="dxa"/>
          <w:left w:w="28" w:type="dxa"/>
          <w:bottom w:w="28" w:type="dxa"/>
          <w:right w:w="28" w:type="dxa"/>
        </w:tblCellMar>
      </w:tblPr>
      <w:tblGrid>
        <w:gridCol w:w="1449"/>
        <w:gridCol w:w="1276"/>
        <w:gridCol w:w="1279"/>
        <w:gridCol w:w="109"/>
        <w:gridCol w:w="109"/>
        <w:gridCol w:w="109"/>
        <w:gridCol w:w="109"/>
        <w:gridCol w:w="109"/>
        <w:gridCol w:w="109"/>
        <w:gridCol w:w="723"/>
        <w:gridCol w:w="2470"/>
        <w:gridCol w:w="376"/>
        <w:gridCol w:w="109"/>
        <w:gridCol w:w="109"/>
        <w:gridCol w:w="109"/>
        <w:gridCol w:w="109"/>
        <w:gridCol w:w="109"/>
        <w:gridCol w:w="109"/>
        <w:gridCol w:w="109"/>
        <w:gridCol w:w="109"/>
        <w:gridCol w:w="109"/>
        <w:gridCol w:w="109"/>
        <w:gridCol w:w="109"/>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Conversion Option Derivative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fair value included in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included in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7,595 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As of March 31, 2026 and December 31, 2025, the conversion option derivative was valued using a Binomial Lattice, which is considered to be a Level 3 fair value measurement. A summary of the level 3 fair value measurements inputs used in the valuations is as follows:</w:t>
      </w:r>
    </w:p>
    <w:tbl>
      <w:tblPr>
        <w:tblW w:w="6944" w:type="dxa"/>
        <w:jc w:val="left"/>
        <w:tblInd w:w="0" w:type="dxa"/>
        <w:tblLayout w:type="fixed"/>
        <w:tblCellMar>
          <w:top w:w="28" w:type="dxa"/>
          <w:left w:w="28" w:type="dxa"/>
          <w:bottom w:w="28" w:type="dxa"/>
          <w:right w:w="28" w:type="dxa"/>
        </w:tblCellMar>
      </w:tblPr>
      <w:tblGrid>
        <w:gridCol w:w="488"/>
        <w:gridCol w:w="428"/>
        <w:gridCol w:w="434"/>
        <w:gridCol w:w="109"/>
        <w:gridCol w:w="109"/>
        <w:gridCol w:w="109"/>
        <w:gridCol w:w="109"/>
        <w:gridCol w:w="109"/>
        <w:gridCol w:w="205"/>
        <w:gridCol w:w="205"/>
        <w:gridCol w:w="205"/>
        <w:gridCol w:w="205"/>
        <w:gridCol w:w="205"/>
        <w:gridCol w:w="205"/>
        <w:gridCol w:w="205"/>
        <w:gridCol w:w="1196"/>
        <w:gridCol w:w="618"/>
        <w:gridCol w:w="1800"/>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614" w:type="dxa"/>
            <w:gridSpan w:val="3"/>
            <w:tcBorders/>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Conversion Option Derivative Liabilities</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3.07</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40" w:type="dxa"/>
        <w:jc w:val="left"/>
        <w:tblInd w:w="0" w:type="dxa"/>
        <w:tblLayout w:type="fixed"/>
        <w:tblCellMar>
          <w:top w:w="28" w:type="dxa"/>
          <w:left w:w="28" w:type="dxa"/>
          <w:bottom w:w="28" w:type="dxa"/>
          <w:right w:w="28" w:type="dxa"/>
        </w:tblCellMar>
      </w:tblPr>
      <w:tblGrid>
        <w:gridCol w:w="488"/>
        <w:gridCol w:w="428"/>
        <w:gridCol w:w="434"/>
        <w:gridCol w:w="109"/>
        <w:gridCol w:w="287"/>
        <w:gridCol w:w="287"/>
        <w:gridCol w:w="287"/>
        <w:gridCol w:w="287"/>
        <w:gridCol w:w="287"/>
        <w:gridCol w:w="288"/>
        <w:gridCol w:w="109"/>
        <w:gridCol w:w="109"/>
        <w:gridCol w:w="109"/>
        <w:gridCol w:w="109"/>
        <w:gridCol w:w="109"/>
        <w:gridCol w:w="109"/>
        <w:gridCol w:w="109"/>
        <w:gridCol w:w="1157"/>
        <w:gridCol w:w="598"/>
        <w:gridCol w:w="1740"/>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3"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4258" w:type="dxa"/>
            <w:gridSpan w:val="10"/>
            <w:tcBorders/>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Conversion Option Derivative Liability</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3.56</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114.00 </w:t>
            </w:r>
          </w:p>
        </w:tc>
        <w:tc>
          <w:tcPr>
            <w:tcW w:w="1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equity</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Uncertainty of Fair Value Measurement from Use of Significant Unobservable Inputs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inputs to estimate the fair value of the Company’s conversion option derivative liabilities were the market price of the Company’s common stock, their remaining expected term, the volatility of the Company’s common stock price and the risk-free interest rate over the expected term. Significant changes in any of those inputs in isolation can result in a significant change in the fair value measurement.</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Generally, an increase in the market price of the Company’s shares of common stock, an increase in the volatility of the Company’s shares of common stock, and an increase in the remaining term of the derivative liabilities would each result in a directionally similar change in the estimated fair value of the Company’s derivative liabilities. Such changes would increase the associated liability while decreases in these assumptions would decrease the associated liability. An increase in the risk-free interest rate would result in a decrease in the estimated fair value measurement and thus a decrease in the associated liability. The Company has not, and does not plan to, declare dividends on its common stock and, as such, there is no change in the estimated fair value of the derivative warrant liabilities due to the dividend assumption.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8. Property and Equipment, Net</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Property and </w:t>
      </w:r>
      <w:r>
        <w:rPr>
          <w:rFonts w:ascii="Times New Roman;serif" w:hAnsi="Times New Roman;serif"/>
          <w:b w:val="false"/>
          <w:color w:val="000000"/>
          <w:sz w:val="20"/>
        </w:rPr>
        <w:t>equipment</w:t>
      </w:r>
      <w:r>
        <w:rPr>
          <w:rFonts w:ascii="Times New Roman;serif" w:hAnsi="Times New Roman;serif"/>
          <w:b w:val="false"/>
          <w:color w:val="231F20"/>
          <w:sz w:val="20"/>
        </w:rPr>
        <w:t>, net, consist of the following:</w:t>
      </w:r>
    </w:p>
    <w:tbl>
      <w:tblPr>
        <w:tblW w:w="10205" w:type="dxa"/>
        <w:jc w:val="left"/>
        <w:tblInd w:w="0" w:type="dxa"/>
        <w:tblLayout w:type="fixed"/>
        <w:tblCellMar>
          <w:top w:w="28" w:type="dxa"/>
          <w:left w:w="28" w:type="dxa"/>
          <w:bottom w:w="28" w:type="dxa"/>
          <w:right w:w="28" w:type="dxa"/>
        </w:tblCellMar>
      </w:tblPr>
      <w:tblGrid>
        <w:gridCol w:w="1066"/>
        <w:gridCol w:w="922"/>
        <w:gridCol w:w="926"/>
        <w:gridCol w:w="1163"/>
        <w:gridCol w:w="1162"/>
        <w:gridCol w:w="1161"/>
        <w:gridCol w:w="109"/>
        <w:gridCol w:w="109"/>
        <w:gridCol w:w="109"/>
        <w:gridCol w:w="287"/>
        <w:gridCol w:w="982"/>
        <w:gridCol w:w="147"/>
        <w:gridCol w:w="109"/>
        <w:gridCol w:w="109"/>
        <w:gridCol w:w="109"/>
        <w:gridCol w:w="336"/>
        <w:gridCol w:w="1149"/>
        <w:gridCol w:w="250"/>
      </w:tblGrid>
      <w:tr>
        <w:trPr/>
        <w:tc>
          <w:tcPr>
            <w:tcW w:w="106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4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software</w:t>
            </w:r>
          </w:p>
        </w:tc>
        <w:tc>
          <w:tcPr>
            <w:tcW w:w="348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60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5,106 </w:t>
            </w:r>
          </w:p>
        </w:tc>
        <w:tc>
          <w:tcPr>
            <w:tcW w:w="25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w:t>
            </w:r>
          </w:p>
        </w:tc>
        <w:tc>
          <w:tcPr>
            <w:tcW w:w="3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84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250"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lease term or estimated useful 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25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equipment</w:t>
            </w:r>
          </w:p>
        </w:tc>
        <w:tc>
          <w:tcPr>
            <w:tcW w:w="3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60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250"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25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ROU assets</w:t>
            </w:r>
          </w:p>
        </w:tc>
        <w:tc>
          <w:tcPr>
            <w:tcW w:w="3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lease term or estimated useful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50"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(11,825)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(10,926)</w:t>
            </w:r>
          </w:p>
        </w:tc>
        <w:tc>
          <w:tcPr>
            <w:tcW w:w="25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property and equipment, net</w:t>
            </w:r>
          </w:p>
        </w:tc>
        <w:tc>
          <w:tcPr>
            <w:tcW w:w="3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10,697 </w:t>
            </w:r>
          </w:p>
        </w:tc>
        <w:tc>
          <w:tcPr>
            <w:tcW w:w="14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25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Depreciation expense for the three months ended March 31, 2026 and 2025 was $901 and $1,011,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9. Accrued Expenses and Other Current Liabilities</w:t>
      </w:r>
    </w:p>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Accrued expenses and other current liabilities as of March 31, 2026 and December 31, 2025 consist of the following:</w:t>
      </w:r>
    </w:p>
    <w:tbl>
      <w:tblPr>
        <w:tblW w:w="9176" w:type="dxa"/>
        <w:jc w:val="left"/>
        <w:tblInd w:w="0" w:type="dxa"/>
        <w:tblLayout w:type="fixed"/>
        <w:tblCellMar>
          <w:top w:w="28" w:type="dxa"/>
          <w:left w:w="28" w:type="dxa"/>
          <w:bottom w:w="28" w:type="dxa"/>
          <w:right w:w="28" w:type="dxa"/>
        </w:tblCellMar>
      </w:tblPr>
      <w:tblGrid>
        <w:gridCol w:w="2041"/>
        <w:gridCol w:w="1795"/>
        <w:gridCol w:w="1803"/>
        <w:gridCol w:w="292"/>
        <w:gridCol w:w="998"/>
        <w:gridCol w:w="150"/>
        <w:gridCol w:w="109"/>
        <w:gridCol w:w="109"/>
        <w:gridCol w:w="109"/>
        <w:gridCol w:w="344"/>
        <w:gridCol w:w="1175"/>
        <w:gridCol w:w="251"/>
      </w:tblGrid>
      <w:tr>
        <w:trPr/>
        <w:tc>
          <w:tcPr>
            <w:tcW w:w="2041"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including bonuses, fringe benefits, and payroll taxes</w:t>
            </w:r>
          </w:p>
        </w:tc>
        <w:tc>
          <w:tcPr>
            <w:tcW w:w="29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5,801 </w:t>
            </w:r>
          </w:p>
        </w:tc>
        <w:tc>
          <w:tcPr>
            <w:tcW w:w="15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7,093 </w:t>
            </w:r>
          </w:p>
        </w:tc>
        <w:tc>
          <w:tcPr>
            <w:tcW w:w="25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 reserve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Directors and officers insurance premiums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5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and contingent consideration</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25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on advances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capitated leakage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25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sub-capitation</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5,669 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4,305 </w:t>
            </w:r>
          </w:p>
        </w:tc>
        <w:tc>
          <w:tcPr>
            <w:tcW w:w="25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accrued expenses and other current liabilities</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24,297 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20,639 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 has agreed to indemnify members of the Board and certain officers if they are named or threatened to be named as a party to any proceeding by reason of the fact that they acted in such capacity. The Company entered into a $964 financing arrangement beginning November 2025 with a maturity date of September 2026 at 7.49% annual interest rate to pay 11 monthly principal payments of approximately $80 to $90 in premiums for directors’ and officers’ (“D&amp;O”) insurance coverage through September 2026 to protect against such losses. The principal outstanding balance was $530 and $794 as of March 31,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10. Leases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 leases clinics, office buildings, and certain equipment under noncancellable financing and operating lease agreements that expire at various dates through June 2033. </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initial terms of operating leases range from 1 to 10 years and certain leases provide for free rent periods, periodic rent increases, and renewal options. Monthly payments for these leases range from </w:t>
      </w:r>
      <w:r>
        <w:rPr>
          <w:rFonts w:ascii="Times New Roman;serif" w:hAnsi="Times New Roman;serif"/>
          <w:b w:val="false"/>
          <w:color w:val="231F20"/>
          <w:sz w:val="20"/>
        </w:rPr>
        <w:t>$2</w:t>
      </w:r>
      <w:r>
        <w:rPr>
          <w:color w:val="000000"/>
        </w:rPr>
        <w:t xml:space="preserve"> </w:t>
      </w:r>
      <w:r>
        <w:rPr>
          <w:rFonts w:ascii="Times New Roman;serif" w:hAnsi="Times New Roman;serif"/>
          <w:b w:val="false"/>
          <w:color w:val="000000"/>
          <w:sz w:val="20"/>
        </w:rPr>
        <w:t xml:space="preserve">to </w:t>
      </w:r>
      <w:r>
        <w:rPr>
          <w:rFonts w:ascii="Times New Roman;serif" w:hAnsi="Times New Roman;serif"/>
          <w:b w:val="false"/>
          <w:color w:val="231F20"/>
          <w:sz w:val="20"/>
        </w:rPr>
        <w:t>$64</w:t>
      </w:r>
      <w:r>
        <w:rPr>
          <w:rFonts w:ascii="Times New Roman;serif" w:hAnsi="Times New Roman;serif"/>
          <w:b w:val="false"/>
          <w:color w:val="231F20"/>
          <w:sz w:val="24"/>
        </w:rPr>
        <w:t xml:space="preserve">. </w:t>
      </w:r>
      <w:r>
        <w:rPr>
          <w:rFonts w:ascii="Times New Roman;serif" w:hAnsi="Times New Roman;serif"/>
          <w:b w:val="false"/>
          <w:color w:val="231F20"/>
          <w:sz w:val="20"/>
        </w:rPr>
        <w:t xml:space="preserve">All lease agreements generally require the Company to pay maintenance, repairs, property taxes, and insurance costs, which are generally variable amounts based on actual costs incurred during each applicable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 has determined that periods covered by options to extend the Company's leases are excluded from the lease terms as it is not reasonably certain the Company will exercise such options. </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Lease Expense</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components of lease expense were as follows for the three months ended March 31, 2026 and 2025: </w:t>
      </w:r>
    </w:p>
    <w:tbl>
      <w:tblPr>
        <w:tblW w:w="5561" w:type="dxa"/>
        <w:jc w:val="left"/>
        <w:tblInd w:w="0" w:type="dxa"/>
        <w:tblLayout w:type="fixed"/>
        <w:tblCellMar>
          <w:top w:w="28" w:type="dxa"/>
          <w:left w:w="28" w:type="dxa"/>
          <w:bottom w:w="28" w:type="dxa"/>
          <w:right w:w="28" w:type="dxa"/>
        </w:tblCellMar>
      </w:tblPr>
      <w:tblGrid>
        <w:gridCol w:w="831"/>
        <w:gridCol w:w="731"/>
        <w:gridCol w:w="732"/>
        <w:gridCol w:w="267"/>
        <w:gridCol w:w="781"/>
        <w:gridCol w:w="138"/>
        <w:gridCol w:w="138"/>
        <w:gridCol w:w="138"/>
        <w:gridCol w:w="138"/>
        <w:gridCol w:w="267"/>
        <w:gridCol w:w="781"/>
        <w:gridCol w:w="138"/>
        <w:gridCol w:w="109"/>
        <w:gridCol w:w="109"/>
        <w:gridCol w:w="109"/>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ROU asset</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lease costs: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Operating and other lease costs are presented as part of selling, general, and administrative expenses. The components of finance lease costs appear in depreciation and amortization and interest expense. </w:t>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Maturity of Lease Liabilities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aggregate future lease payments for the Company's leases in years subsequent to March 31, 2026 are as follows: </w:t>
      </w:r>
    </w:p>
    <w:tbl>
      <w:tblPr>
        <w:tblW w:w="7723" w:type="dxa"/>
        <w:jc w:val="left"/>
        <w:tblInd w:w="0" w:type="dxa"/>
        <w:tblLayout w:type="fixed"/>
        <w:tblCellMar>
          <w:top w:w="28" w:type="dxa"/>
          <w:left w:w="28" w:type="dxa"/>
          <w:bottom w:w="28" w:type="dxa"/>
          <w:right w:w="28" w:type="dxa"/>
        </w:tblCellMar>
      </w:tblPr>
      <w:tblGrid>
        <w:gridCol w:w="1699"/>
        <w:gridCol w:w="1496"/>
        <w:gridCol w:w="1499"/>
        <w:gridCol w:w="322"/>
        <w:gridCol w:w="1101"/>
        <w:gridCol w:w="166"/>
        <w:gridCol w:w="418"/>
        <w:gridCol w:w="715"/>
        <w:gridCol w:w="307"/>
      </w:tblGrid>
      <w:tr>
        <w:trPr/>
        <w:tc>
          <w:tcPr>
            <w:tcW w:w="169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nine months)</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Thereafter </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amount representing interest </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Present value of future lease payment (lease liabilities)</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as:</w:t>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noncurrent</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lease liabilities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Lease Term and Discount Rate</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provides the weighted average remaining lease terms and weighted average discount rates for the Company's leases as of March 31, 2026 and 2025:</w:t>
      </w:r>
    </w:p>
    <w:tbl>
      <w:tblPr>
        <w:tblW w:w="7047" w:type="dxa"/>
        <w:jc w:val="left"/>
        <w:tblInd w:w="0" w:type="dxa"/>
        <w:tblLayout w:type="fixed"/>
        <w:tblCellMar>
          <w:top w:w="28" w:type="dxa"/>
          <w:left w:w="28" w:type="dxa"/>
          <w:bottom w:w="28" w:type="dxa"/>
          <w:right w:w="28" w:type="dxa"/>
        </w:tblCellMar>
      </w:tblPr>
      <w:tblGrid>
        <w:gridCol w:w="1495"/>
        <w:gridCol w:w="1312"/>
        <w:gridCol w:w="1317"/>
        <w:gridCol w:w="319"/>
        <w:gridCol w:w="319"/>
        <w:gridCol w:w="801"/>
        <w:gridCol w:w="302"/>
        <w:gridCol w:w="302"/>
        <w:gridCol w:w="880"/>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Finance </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8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88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8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8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Supplemental Cash Flow Information</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provides certain cash flow and supplemental noncash information related to the Company's lease liabilities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1610"/>
        <w:gridCol w:w="1417"/>
        <w:gridCol w:w="1406"/>
        <w:gridCol w:w="571"/>
        <w:gridCol w:w="1669"/>
        <w:gridCol w:w="295"/>
        <w:gridCol w:w="571"/>
        <w:gridCol w:w="1669"/>
        <w:gridCol w:w="295"/>
        <w:gridCol w:w="109"/>
        <w:gridCol w:w="109"/>
        <w:gridCol w:w="109"/>
        <w:gridCol w:w="109"/>
        <w:gridCol w:w="109"/>
        <w:gridCol w:w="157"/>
      </w:tblGrid>
      <w:tr>
        <w:trPr/>
        <w:tc>
          <w:tcPr>
            <w:tcW w:w="161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cash flow information </w:t>
            </w:r>
          </w:p>
        </w:tc>
        <w:tc>
          <w:tcPr>
            <w:tcW w:w="2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cash payment for operating leases</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Financing cash payments for finance leases</w:t>
            </w:r>
          </w:p>
        </w:tc>
        <w:tc>
          <w:tcPr>
            <w:tcW w:w="2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arising from obtaining right-of-use assets:</w:t>
            </w:r>
          </w:p>
        </w:tc>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5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Lease Modifications</w:t>
      </w:r>
    </w:p>
    <w:p>
      <w:pPr>
        <w:pStyle w:val="TextBody"/>
        <w:bidi w:val="0"/>
        <w:spacing w:lineRule="auto" w:line="268" w:before="0" w:after="200"/>
        <w:ind w:left="0" w:right="0" w:firstLine="360"/>
        <w:jc w:val="both"/>
        <w:rPr/>
      </w:pPr>
      <w:r>
        <w:rPr>
          <w:rFonts w:ascii="Times New Roman;serif" w:hAnsi="Times New Roman;serif"/>
          <w:b w:val="false"/>
          <w:color w:val="000000"/>
          <w:sz w:val="20"/>
        </w:rPr>
        <w:t xml:space="preserve">During the three months ended </w:t>
      </w:r>
      <w:r>
        <w:rPr>
          <w:rFonts w:ascii="Times New Roman;serif" w:hAnsi="Times New Roman;serif"/>
          <w:b w:val="false"/>
          <w:color w:val="231F20"/>
          <w:sz w:val="20"/>
        </w:rPr>
        <w:t>March 31, 2026</w:t>
      </w:r>
      <w:r>
        <w:rPr>
          <w:rFonts w:ascii="Times New Roman;serif" w:hAnsi="Times New Roman;serif"/>
          <w:b w:val="false"/>
          <w:color w:val="000000"/>
          <w:sz w:val="20"/>
        </w:rPr>
        <w:t xml:space="preserve">, the Company extended its lease terms for </w:t>
      </w:r>
      <w:r>
        <w:rPr>
          <w:rFonts w:ascii="Times New Roman;serif" w:hAnsi="Times New Roman;serif"/>
          <w:b w:val="false"/>
          <w:color w:val="231F20"/>
          <w:sz w:val="20"/>
        </w:rPr>
        <w:t>four</w:t>
      </w:r>
      <w:r>
        <w:rPr>
          <w:color w:val="000000"/>
        </w:rPr>
        <w:t xml:space="preserve"> </w:t>
      </w:r>
      <w:r>
        <w:rPr>
          <w:rFonts w:ascii="Times New Roman;serif" w:hAnsi="Times New Roman;serif"/>
          <w:b w:val="false"/>
          <w:color w:val="000000"/>
          <w:sz w:val="20"/>
        </w:rPr>
        <w:t xml:space="preserve">clinics in Florida and one clinic in California. These extensions constitute lease modifications that qualify as a change of accounting for the original leases and not separate contracts. Accordingly, for the three months ended </w:t>
      </w:r>
      <w:r>
        <w:rPr>
          <w:rFonts w:ascii="Times New Roman;serif" w:hAnsi="Times New Roman;serif"/>
          <w:b w:val="false"/>
          <w:color w:val="231F20"/>
          <w:sz w:val="20"/>
        </w:rPr>
        <w:t xml:space="preserve">March 31, 2026, </w:t>
      </w:r>
      <w:r>
        <w:rPr>
          <w:rFonts w:ascii="Times New Roman;serif" w:hAnsi="Times New Roman;serif"/>
          <w:b w:val="false"/>
          <w:color w:val="000000"/>
          <w:sz w:val="20"/>
        </w:rPr>
        <w:t xml:space="preserve">the Company recognized the difference of $1,104 as an increase to the operating lease liability and to the operating lease right-of-use asset.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11. Debt</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Senior Secured Convertible Note</w:t>
      </w:r>
    </w:p>
    <w:p>
      <w:pPr>
        <w:pStyle w:val="TextBody"/>
        <w:bidi w:val="0"/>
        <w:spacing w:lineRule="auto" w:line="288" w:before="0" w:after="200"/>
        <w:ind w:left="0" w:right="0" w:firstLine="360"/>
        <w:jc w:val="both"/>
        <w:rPr/>
      </w:pPr>
      <w:r>
        <w:rPr>
          <w:rFonts w:ascii="Times New Roman;serif" w:hAnsi="Times New Roman;serif"/>
          <w:b w:val="false"/>
          <w:color w:val="000000"/>
          <w:sz w:val="20"/>
        </w:rPr>
        <w:t>On August 9, 2022, TOI</w:t>
      </w:r>
      <w:r>
        <w:rPr>
          <w:color w:val="000000"/>
        </w:rPr>
        <w:t xml:space="preserve"> </w:t>
      </w:r>
      <w:r>
        <w:rPr>
          <w:rFonts w:ascii="Times New Roman;serif" w:hAnsi="Times New Roman;serif"/>
          <w:b w:val="false"/>
          <w:color w:val="000000"/>
          <w:sz w:val="20"/>
        </w:rPr>
        <w:t>entered into a Facility Agreement (the “Facility Agreement”) with certain lenders (“Lenders”) and Deerfield Partners L.P. (“Agent”), pursuant to which, TOI borrowed cash loans from the Lenders in the amount of $110,000, in exchange for which, TOI issued to each Lender a secured convertible promissory note (“Senior Secured Convertible Note”), which is payable to such Lenders in an amount equal to the unpaid principal amount of loans held by such Lender.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Senior Secured Convertible Note will mature on August 9, 2027 (the “Maturity Date”) and shall bear interest at the rate of 4.00% per annum from August 9, 2022, on the outstanding principal amount, any overdue interest and any other amounts and obligations. The interest shall be paid in cash quarterly in arrears commencing on October 1, 2022. In case of any prepayment, repayment or redemption of the Senior Secured Convertible Note, the Company shall pay any accrued and unpaid interest on the principal, along with a make whole amount and an exit fee.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Facility Agreement requires the Company to meet certain operational and reporting requirements, including, but not limited to, customary regulatory, financial reporting, and disclosure requirements. Additionally, limitations are placed on the Company's ability to merge with other companies and enter into other debt arrangements and permitted investments are limited to amounts specified in the Facility Agreement. The Facility Agreement also provides certain restrictions on dividend payments and equity transactions and requires the Company to make prepayments under specified circumstances. Financial covenants in the Facility Agreement require the Company to maintain minimum net quarterly revenues of $100,000 during fiscal year 2026 and thereafter. Additionally, the registration rights agreement between the Company and certain stockholders entered into in connection with the Business Combination requires the Company to have an effective registration statement and calls for payment should the registration statement cease to remain effective.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26, 2025, the Company, the Lenders, and the Agent, entered into the Limited Consent and Amendment No. 1 to Facility Agreement (the “Consent and Amendment”), which amended the Facility Agreement, dated as of August 9, 2022. The Consent and Amendment, among other things, provided for (i) Lenders’ consents to the waiver of certain restrictions imposed by the Facility Agreement regarding the issuance and sale of the Company’s equity and equity-linked securities, (ii) the removal of a financial covenant that required the Company to hold at least $40,000 of cash or cash equivalents in accounts that were subject to control agreements in favor of the Agent, (iii) amendment and restatement of the Company’s financial reporting covenant under the Facility Agreement in its entirety, and (iv) granting participation rights permitting the Lenders to purchase common stock and/or warrants exercisable for common stock in up to two equity offerings that occurred by no later than February 26, 2026 (“Participation Rights”). The Consent and Amendment was accounted for as a debt modification in accordance with ASC 470.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Consent and Amendment, the Company executed the Optional Redemption feature (as described below) and made a partial prepayment of the Senior Secured Convertible Notes issued pursuant to the Facility Agreement in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aggregate principal amount of approximately $20,000 together with accrued and unpaid interest thereon. As part of the prepayment, the Lenders also waived any and all Make Whole Amounts that would otherwise be due and owing thereto under the Facility Documents in respect of the prepayment. As a result of the prepayment, the Company recognized a loss on extinguishment of debt within interest expense of $2,900 during the quarter ended March 31, 2025, which consisted of a proportionate write-off of unamortized financing costs related to the Facility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in connection with the Private Placement (described in Note 13. Stockholders’ Equity) certain Lenders exercised participation rights and entered into an exchange agreement pursuant to which such Lenders agreed to exchange approximately $4,100 aggregate principal amount of the Company’s Senior Secured Convertible Notes for 37,232.83 shares of common-equivalent Preferred Stock (convertible into 3,723,283 shares of Common Stock) and warrants to purchase 1,861,642 shares of Common Stock at the same prices being paid by the investors in the Private Placement. The fair value of the common-equivalent Preferred Stock and warrants issued was $4,100. The exchange was accounted for as a partial debt extinguishment under ASC 470. As a result, the Company recognized a loss on extinguishment of debt within interest expense of $600 during the three months ended March 31, 2025, which consisted of a proportionate write-off of unamortized financing costs related to the Facility Agreement.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the covenants of the Facility Agreement (as amended) as of March 31, 2026.</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Conversion Options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Senior Secured Convertible Note contains several embedded conversion options (the “Conversion Options”) that grant the holders of the Senior Secured Convertible Note the ability to convert the Senior Secured Convertible Note at any time on or after date of issuance of the note. The Conversion Options are convertible into shares of the Company’s common stock (such converted shares, “Conversion Shares”) and, in certain circumstances, a combination of cash and shares of the Company’s common stock, or a combination of cash, other assets and securities or other property of any Company successor entity. The Conversion Shares or settlement amounts shall be computed on the basis of a predefined formula, with a set conversion price of $8.567 as one of the inputs and a conversion cap of 14,663,019 shares. The if-converted value did not exceed the principal amount as of March 31, 2026. No Conversion Shares were issued as of March 31, 2026.</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evaluated the Conversion Options of the Senior Secured Convertible Note under ASC 815 and concluded that they require bifurcation from the host contract as a separate unit of account. The Conversion Options do not meet the criteria to be classified in shareholders’ equity and hence, are accounted for as a derivative liability remeasured at fair value at each balance sheet date with changes in fair value reported in earnings.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Conversion Options contain certain limits on exercise if, after giving effect to the exercise, the Lender would beneficially own a number of shares of common stock of the Company in excess of those permissible under the terms of the Senior Secured Convertible Note. The number of shares to be issued against these notes and conversion price are each subject to adjustments provided under the terms of Senior Secured Convertible Note.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holder shall receive dividends on the Senior Secured Convertible Note and distributions of any kind made to the holders of common stock, other than dividends of, or distributions in, shares, to the same extent as if the holder had converted the Senior Secured Convertible Note into such shares and had held such shares on the record date for such dividends and distributions any limitations on conversion options.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Optional Redemption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Facility Agreement also provides the Company the right to redeem the outstanding principal amount of each note (“Optional Redemption”) for the Optional Redemption Price. The Company shall not effect any Optional Redemption under this Senior Secured Convertible Note unless along with this, the Company effects an optional redemption under all other notes in accordance with the terms thereof, on a pro rata basis, based upon the respective applicable original principal amount of each of the notes outstanding as of the date the notice for Optional Redemption is delivered to the holders.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evaluated the Optional Redemption feature of the Senior Secured Convertible Note under ASC 815 and concluded that it requires bifurcation from the host contract as a separate unit of account. The Optional Redemption feature does not meet the criteria to be classified in shareholders’ equity and hence, is accounted for as a derivative liability remeasured at fair value at each balance sheet date with changes in fair value reported in earnings. The fair value of the Optional Redemption feature is de minimis.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the principal redemption amount specified in an Optional Redemption notice is less than the entire principal amount then outstanding, the principal amount specified in each conversion notice shall be applied (i) first, to reduce, on a dollar-for-dollar basis, the principal amount of the note in excess of the principal redemption amount until such excess principal amount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reduced to zero and (ii) to reduce, on a dollar-for-dollar basis, the principal redemption amount until all of such principal redemption amount shall have been converted.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Convertible Note Warrants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Facility Agreement also provides for the issuance of warrants (the “Convertible Note Warrants”) on each date any principal amount of any Senior Secured Convertible Note is paid, repaid, redeemed, or prepaid at any time prior to the Maturity Date. Convertible Note Warrants are exercisable from their original issue date to August 9, 2027, for purchase of an aggregate amount of Conversion Shares into which such principal amount of Senior Secured Convertible Note was convertible, immediately prior to such payment, at an exercise price of $8.567.</w:t>
      </w:r>
      <w:r>
        <w:rPr>
          <w:color w:val="000000"/>
        </w:rPr>
        <w:t xml:space="preserve"> </w:t>
      </w:r>
      <w:r>
        <w:rPr>
          <w:rFonts w:ascii="Times New Roman;serif" w:hAnsi="Times New Roman;serif"/>
          <w:b w:val="false"/>
          <w:color w:val="000000"/>
          <w:sz w:val="20"/>
        </w:rPr>
        <w:t xml:space="preserve">The holder of Convertible Note Warrants may pay the exercise price in cash or exercise the warrant on a cashless basis or through a reduction of an amount of principal outstanding under any Senior Secured Convertible Note held by such holder. In the event that the Convertible Note Warrant has not been exercised in full as of the last business day during its term, the holder shall be deemed to have exercised the purchase rights represented by the Convertible Note Warrant in full as a cashless exercise, in which event the Company shall issue the number of shares to the holder computed on the basis of a predefined formula.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evaluated the Convertible Note Warrants of the Senior Secured Convertible Note under ASC 815 and concluded that they require bifurcation from the host contract as a separate unit of account. The Convertible Note Warrants do not meet the criteria to be classified in shareholders’ equity and hence, are accounted for as a derivative liability remeasured at fair value at each balance sheet date with changes in fair value reported in earnings.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Convertible Note Warrant holder shall be entitled to receive any dividend or distribution made by the Company to the holders of common stock to the same extent as if the holder had exercised the Convertible Note Warrants in full in a cash exercise.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number of shares to be issued against these warrants and exercise price are each subject to adjustments provided under the terms of Convertible Note Warrants. The Convertible Note Warrants contain certain limits on exercise if, after giving effect to the exercise, the Lender would beneficially own a number of shares of common stock of the Company in excess of those permissible under the terms of the Convertible Note Warrants. Further, the Convertible Note Warrants can be fully or partially settled in cash in certain cases in accordance with the terms of issuance such as when shares issuable upon exercise of the warrants exceed a predefined number, upon occurrence of predefined events of default and upon occurrence of predefined events that will bring a fundamental change in the Company such as merger, consolidation, business combination, recapitalization, reorganization, reclassification or other similar event.</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of </w:t>
      </w:r>
      <w:r>
        <w:rPr>
          <w:rFonts w:ascii="Times New Roman;serif" w:hAnsi="Times New Roman;serif"/>
          <w:b w:val="false"/>
          <w:color w:val="231F20"/>
          <w:sz w:val="20"/>
        </w:rPr>
        <w:t xml:space="preserve">March 31, 2026 and </w:t>
      </w:r>
      <w:r>
        <w:rPr>
          <w:rFonts w:ascii="Times New Roman;serif" w:hAnsi="Times New Roman;serif"/>
          <w:b w:val="false"/>
          <w:color w:val="000000"/>
          <w:sz w:val="20"/>
        </w:rPr>
        <w:t>December 31, 2025, there were no Convertible Note Warrants outstanding, respectively.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Allocation of Proceeds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allocated total issuance proceeds of $110,000 among the Senior Secured Convertible Note and Convertible Note Warrants based on fair value. Upon issuance of the Convertible Note Warrants, the Company recorded Convertible Note Warrants, Optional Redemption, and Conversion Options of $0, $0 and $28,160, which were recorded as a debt discount to the Senior Secured Convertible Note of $110,000. The Company will amortize the debt discount over a period of 5 years (of which 1.36 years remain).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issuance costs of $4,924 were allocated among the Senior Secured Convertible Note, Convertible Note Warrants, Optional Redemption, and Conversion Options, by allocating costs of $0, $0, and $1,261 to the Convertible Note Warrants, Optional Redemption, and Conversion Options with the residual cost of $3,663 being allocated to the Senior Secured Convertible Note (in addition to the debt discount). The Company expensed issuance costs allocated to Warrants, Optional Redemption, and Conversion Options at inception and will amortize the costs allocated to the Senior Secured Convertible Note over a period of 5 years (of which 1.36 remain).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Amounts Outstanding and Recognized during the Periods Presented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Senior Secured Convertible Note as of March 31, 2026 and December 31, 2025 consists of the following:</w:t>
      </w:r>
    </w:p>
    <w:tbl>
      <w:tblPr>
        <w:tblW w:w="9371" w:type="dxa"/>
        <w:jc w:val="left"/>
        <w:tblInd w:w="0" w:type="dxa"/>
        <w:tblLayout w:type="fixed"/>
        <w:tblCellMar>
          <w:top w:w="28" w:type="dxa"/>
          <w:left w:w="28" w:type="dxa"/>
          <w:bottom w:w="28" w:type="dxa"/>
          <w:right w:w="28" w:type="dxa"/>
        </w:tblCellMar>
      </w:tblPr>
      <w:tblGrid>
        <w:gridCol w:w="2112"/>
        <w:gridCol w:w="1859"/>
        <w:gridCol w:w="1863"/>
        <w:gridCol w:w="292"/>
        <w:gridCol w:w="998"/>
        <w:gridCol w:w="150"/>
        <w:gridCol w:w="109"/>
        <w:gridCol w:w="109"/>
        <w:gridCol w:w="109"/>
        <w:gridCol w:w="344"/>
        <w:gridCol w:w="1175"/>
        <w:gridCol w:w="251"/>
      </w:tblGrid>
      <w:tr>
        <w:trPr/>
        <w:tc>
          <w:tcPr>
            <w:tcW w:w="2112"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Convertible Note, due August 9, 2027</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6,315 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Long-term debt, net of unamortized debt discount and issuance costs</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78,611 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77,400 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 xml:space="preserve">March 31, 2026 and </w:t>
      </w:r>
      <w:r>
        <w:rPr>
          <w:rFonts w:ascii="Times New Roman;serif" w:hAnsi="Times New Roman;serif"/>
          <w:b w:val="false"/>
          <w:color w:val="231F20"/>
          <w:sz w:val="20"/>
        </w:rPr>
        <w:t>2025</w:t>
      </w:r>
      <w:r>
        <w:rPr>
          <w:rFonts w:ascii="Times New Roman;serif" w:hAnsi="Times New Roman;serif"/>
          <w:b w:val="false"/>
          <w:color w:val="000000"/>
          <w:sz w:val="20"/>
        </w:rPr>
        <w:t xml:space="preserve">, the estimated fair value (Level 2) of the Senior Secured Convertible Note was </w:t>
      </w:r>
      <w:r>
        <w:rPr>
          <w:rFonts w:ascii="Times New Roman;serif" w:hAnsi="Times New Roman;serif"/>
          <w:b w:val="false"/>
          <w:color w:val="231F20"/>
          <w:sz w:val="20"/>
        </w:rPr>
        <w:t>$76,496</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31F20"/>
          <w:sz w:val="20"/>
        </w:rPr>
        <w:t>$76,290</w:t>
      </w:r>
      <w:r>
        <w:rPr>
          <w:rFonts w:ascii="Times New Roman;serif" w:hAnsi="Times New Roman;serif"/>
          <w:b w:val="false"/>
          <w:color w:val="000000"/>
          <w:sz w:val="20"/>
        </w:rPr>
        <w:t xml:space="preserve">, respectively. </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amortization of the debt issuance costs was charged to interest expense for all periods presented. For the three months ended March 31, 2026 and 2025, the effective yield was 10.64%. The amount of debt issuance costs included in interest expense for the three months ended </w:t>
      </w:r>
      <w:r>
        <w:rPr>
          <w:rFonts w:ascii="Times New Roman;serif" w:hAnsi="Times New Roman;serif"/>
          <w:b w:val="false"/>
          <w:color w:val="000000"/>
          <w:sz w:val="20"/>
        </w:rPr>
        <w:t xml:space="preserve">March 31, 2026 and </w:t>
      </w:r>
      <w:r>
        <w:rPr>
          <w:rFonts w:ascii="Times New Roman;serif" w:hAnsi="Times New Roman;serif"/>
          <w:b w:val="false"/>
          <w:color w:val="231F20"/>
          <w:sz w:val="20"/>
        </w:rPr>
        <w:t xml:space="preserve">2025 was </w:t>
      </w:r>
      <w:r>
        <w:rPr>
          <w:rFonts w:ascii="Times New Roman;serif" w:hAnsi="Times New Roman;serif"/>
          <w:b w:val="false"/>
          <w:color w:val="000000"/>
          <w:sz w:val="20"/>
        </w:rPr>
        <w:t>$1,211</w:t>
      </w:r>
      <w:r>
        <w:rPr>
          <w:color w:val="231F20"/>
        </w:rPr>
        <w:t xml:space="preserve"> </w:t>
      </w:r>
      <w:r>
        <w:rPr>
          <w:rFonts w:ascii="Times New Roman;serif" w:hAnsi="Times New Roman;serif"/>
          <w:b w:val="false"/>
          <w:color w:val="231F20"/>
          <w:sz w:val="20"/>
        </w:rPr>
        <w:t xml:space="preserve">and $4,874, respectively. The Company had interest expense of </w:t>
      </w:r>
      <w:r>
        <w:rPr>
          <w:rFonts w:ascii="Times New Roman;serif" w:hAnsi="Times New Roman;serif"/>
          <w:b w:val="false"/>
          <w:color w:val="000000"/>
          <w:sz w:val="20"/>
        </w:rPr>
        <w:t>$859</w:t>
      </w:r>
      <w:r>
        <w:rPr>
          <w:color w:val="231F20"/>
        </w:rPr>
        <w:t xml:space="preserve"> </w:t>
      </w:r>
      <w:r>
        <w:rPr>
          <w:rFonts w:ascii="Times New Roman;serif" w:hAnsi="Times New Roman;serif"/>
          <w:b w:val="false"/>
          <w:color w:val="231F20"/>
          <w:sz w:val="20"/>
        </w:rPr>
        <w:t xml:space="preserve">and $1015 on the Facility Agreement term loan for the three months ended </w:t>
      </w:r>
      <w:r>
        <w:rPr>
          <w:rFonts w:ascii="Times New Roman;serif" w:hAnsi="Times New Roman;serif"/>
          <w:b w:val="false"/>
          <w:color w:val="000000"/>
          <w:sz w:val="20"/>
        </w:rPr>
        <w:t xml:space="preserve">March 31, 2026 and </w:t>
      </w:r>
      <w:r>
        <w:rPr>
          <w:rFonts w:ascii="Times New Roman;serif" w:hAnsi="Times New Roman;serif"/>
          <w:b w:val="false"/>
          <w:color w:val="231F20"/>
          <w:sz w:val="20"/>
        </w:rPr>
        <w:t xml:space="preserve">2025. There was </w:t>
      </w:r>
      <w:r>
        <w:rPr>
          <w:rFonts w:ascii="Times New Roman;serif" w:hAnsi="Times New Roman;serif"/>
          <w:b w:val="false"/>
          <w:color w:val="000000"/>
          <w:sz w:val="20"/>
        </w:rPr>
        <w:t>$849</w:t>
      </w:r>
      <w:r>
        <w:rPr>
          <w:color w:val="231F20"/>
        </w:rPr>
        <w:t xml:space="preserve"> </w:t>
      </w:r>
      <w:r>
        <w:rPr>
          <w:rFonts w:ascii="Times New Roman;serif" w:hAnsi="Times New Roman;serif"/>
          <w:b w:val="false"/>
          <w:color w:val="231F20"/>
          <w:sz w:val="20"/>
        </w:rPr>
        <w:t xml:space="preserve">of accrued interest as of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231F20"/>
          <w:sz w:val="20"/>
        </w:rPr>
        <w:t xml:space="preserve">and 2025, respectively. There was $878 accrued interest as of December 31, 2025.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9, 2022, the Company also entered into the Guarantee and Security Agreement (“Guarantee Agreement”) with the Agent for the purpose of providing a guarantee of all the obligations under the Facility Agreement (refer to Note 15. Commitments and Contingencies for detail).</w:t>
      </w:r>
    </w:p>
    <w:p>
      <w:pPr>
        <w:pStyle w:val="TextBody"/>
        <w:bidi w:val="0"/>
        <w:spacing w:lineRule="auto" w:line="268" w:before="0" w:after="0"/>
        <w:ind w:left="0" w:right="0" w:firstLine="360"/>
        <w:jc w:val="left"/>
        <w:rPr/>
      </w:pPr>
      <w:r>
        <w:rPr>
          <w:rFonts w:ascii="Times New Roman;serif" w:hAnsi="Times New Roman;serif"/>
          <w:b w:val="false"/>
          <w:color w:val="000000"/>
          <w:sz w:val="20"/>
        </w:rPr>
        <w:t xml:space="preserve">Additionally, the Lenders' Agent holds shares of common and preferred stock of the Company as of March 31, 2026, and </w:t>
      </w:r>
      <w:r>
        <w:rPr>
          <w:rFonts w:ascii="Times New Roman;serif" w:hAnsi="Times New Roman;serif"/>
          <w:b w:val="false"/>
          <w:color w:val="231F20"/>
          <w:sz w:val="20"/>
        </w:rPr>
        <w:t>December 31, 2025</w:t>
      </w:r>
      <w:r>
        <w:rPr>
          <w:rFonts w:ascii="Times New Roman;serif" w:hAnsi="Times New Roman;serif"/>
          <w:b w:val="false"/>
          <w:color w:val="000000"/>
          <w:sz w:val="20"/>
        </w:rPr>
        <w:t>.</w:t>
      </w:r>
    </w:p>
    <w:p>
      <w:pPr>
        <w:pStyle w:val="TextBody"/>
        <w:bidi w:val="0"/>
        <w:spacing w:before="0" w:after="0"/>
        <w:ind w:left="0" w:right="0" w:firstLine="36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Debt Maturities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stated debt maturity related to the Senior Secured Convertible Note as of March 31, 2026:</w:t>
      </w:r>
    </w:p>
    <w:tbl>
      <w:tblPr>
        <w:tblW w:w="4008" w:type="dxa"/>
        <w:jc w:val="left"/>
        <w:tblInd w:w="0" w:type="dxa"/>
        <w:tblLayout w:type="fixed"/>
        <w:tblCellMar>
          <w:top w:w="28" w:type="dxa"/>
          <w:left w:w="28" w:type="dxa"/>
          <w:bottom w:w="28" w:type="dxa"/>
          <w:right w:w="28" w:type="dxa"/>
        </w:tblCellMar>
      </w:tblPr>
      <w:tblGrid>
        <w:gridCol w:w="934"/>
        <w:gridCol w:w="822"/>
        <w:gridCol w:w="824"/>
        <w:gridCol w:w="109"/>
        <w:gridCol w:w="109"/>
        <w:gridCol w:w="109"/>
        <w:gridCol w:w="211"/>
        <w:gridCol w:w="73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nine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85,889 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85,889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12. Income Taxes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Company recorded income tax expense of $0 for the </w:t>
      </w:r>
      <w:r>
        <w:rPr>
          <w:rFonts w:ascii="Times New Roman;serif" w:hAnsi="Times New Roman;serif"/>
          <w:b w:val="false"/>
          <w:color w:val="231F20"/>
          <w:sz w:val="20"/>
        </w:rPr>
        <w:t>three months ended March 31, 2026 and 2025, respectively.</w:t>
      </w:r>
      <w:r>
        <w:rPr>
          <w:color w:val="000000"/>
        </w:rPr>
        <w:t xml:space="preserve"> </w:t>
      </w:r>
      <w:r>
        <w:rPr>
          <w:rFonts w:ascii="Times New Roman;serif" w:hAnsi="Times New Roman;serif"/>
          <w:b w:val="false"/>
          <w:color w:val="000000"/>
          <w:sz w:val="20"/>
        </w:rPr>
        <w:t xml:space="preserve">The Company's effective tax rate was 0% for the </w:t>
      </w:r>
      <w:r>
        <w:rPr>
          <w:rFonts w:ascii="Times New Roman;serif" w:hAnsi="Times New Roman;serif"/>
          <w:b w:val="false"/>
          <w:color w:val="231F20"/>
          <w:sz w:val="20"/>
        </w:rPr>
        <w:t>three months ended March 31, 2026 and 2025.</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Company's effective tax rate for the </w:t>
      </w:r>
      <w:r>
        <w:rPr>
          <w:rFonts w:ascii="Times New Roman;serif" w:hAnsi="Times New Roman;serif"/>
          <w:b w:val="false"/>
          <w:color w:val="231F20"/>
          <w:sz w:val="20"/>
        </w:rPr>
        <w:t xml:space="preserve">three months ended March 31, 2026 </w:t>
      </w:r>
      <w:r>
        <w:rPr>
          <w:rFonts w:ascii="Times New Roman;serif" w:hAnsi="Times New Roman;serif"/>
          <w:b w:val="false"/>
          <w:color w:val="000000"/>
          <w:sz w:val="20"/>
        </w:rPr>
        <w:t xml:space="preserve">was different than the U.S. federal statutory tax rate of 21.00%, primarily due to the change in the valuation allowance, partially offset by non-deductible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13. Stockholders' Equity</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As of March 31, 2026, there were 101,707,558 shares issued and </w:t>
      </w:r>
      <w:r>
        <w:rPr>
          <w:rFonts w:ascii="Times New Roman;serif" w:hAnsi="Times New Roman;serif"/>
          <w:b w:val="false"/>
          <w:color w:val="000000"/>
          <w:sz w:val="20"/>
        </w:rPr>
        <w:t xml:space="preserve">99,973,784 shares outstanding of common stock. As of </w:t>
      </w:r>
      <w:r>
        <w:rPr>
          <w:rFonts w:ascii="Times New Roman;serif" w:hAnsi="Times New Roman;serif"/>
          <w:b w:val="false"/>
          <w:color w:val="231F20"/>
          <w:sz w:val="20"/>
        </w:rPr>
        <w:t xml:space="preserve">December 31, 2025, there were 100,596,918 shares issued and </w:t>
      </w:r>
      <w:r>
        <w:rPr>
          <w:rFonts w:ascii="Times New Roman;serif" w:hAnsi="Times New Roman;serif"/>
          <w:b w:val="false"/>
          <w:color w:val="000000"/>
          <w:sz w:val="20"/>
        </w:rPr>
        <w:t>98,863,144 shares outstanding</w:t>
      </w:r>
      <w:r>
        <w:rPr>
          <w:color w:val="231F20"/>
        </w:rPr>
        <w:t xml:space="preserve"> </w:t>
      </w:r>
      <w:r>
        <w:rPr>
          <w:rFonts w:ascii="Times New Roman;serif" w:hAnsi="Times New Roman;serif"/>
          <w:b w:val="false"/>
          <w:color w:val="231F20"/>
          <w:sz w:val="20"/>
        </w:rPr>
        <w:t xml:space="preserve">of common stock.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Voting</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holders of the Company’s common stock are entitled to one vote for each share of common stock held at all meetings of stockholders (and written actions in lieu of meetings), and there is no cumulative voting.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Common stockholders are entitled to receive dividends whenever funds are legally available and when declared by the board of directors. No dividends have been declared as of March 31, 2026 and December 31, 2025.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Upon the Closing Date of the Business Combination, pursuant to the terms of the Amended and Restated Certificate of Incorporation, the Company authorized 10,000,000 shares of Series A Common Equivalent Preferred Stock (“preferred stock”) with a par value and liquidation preference of $0.0001 per share. The Company’s board of directors has the authority, without further action by the stockholders to issue such shares of preferred stock in one or more series, to establish, from time to time the number of shares to be included in each such series, and to fix the dividend, voting, and other rights, preferences, and privileges of the shares. As of March 31, 2026 and December 31, 2025, there were 193,507 shares of preferred stock outstanding.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Conversion</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Each share of preferred stock is convertible, at any time on the part of the holder except with respect to the Beneficial Ownership Limitation (defined below), into 100 shares of common stock.</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Blocker/Beneficial Ownership Limitation</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preferred stock is subject to a beneficial ownership limitation such that the preferred stock may not, at any time, be convertible into more than 4.9% of the total number of shares of common stock outstanding (“Beneficial Ownership Limitation”).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Voting</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holders of preferred stock do not have voting rights in the Company.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200"/>
        <w:ind w:left="0" w:right="0" w:firstLine="360"/>
        <w:jc w:val="both"/>
        <w:rPr/>
      </w:pPr>
      <w:r>
        <w:rPr>
          <w:rFonts w:ascii="Times New Roman;serif" w:hAnsi="Times New Roman;serif"/>
          <w:b w:val="false"/>
          <w:color w:val="231F20"/>
          <w:sz w:val="20"/>
        </w:rPr>
        <w:t>The holders of preferred stock are entitled to receive dividends whenever funds are legally available and when declared by the board of directors on an as-converted basis. No dividends have been declared as of March 31, 2026</w:t>
      </w:r>
      <w:r>
        <w:rPr>
          <w:rFonts w:ascii="Times New Roman;serif" w:hAnsi="Times New Roman;serif"/>
          <w:b w:val="false"/>
          <w:i/>
          <w:color w:val="231F20"/>
          <w:sz w:val="20"/>
        </w:rPr>
        <w:t>.</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Assumed Public Warrants and Private Placement Warrants from the Business Combination</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a result of the Business Combination, holders of the public warrants and private placement warrants are entitled to acquire common </w:t>
      </w:r>
      <w:r>
        <w:rPr>
          <w:rFonts w:ascii="Times New Roman;serif" w:hAnsi="Times New Roman;serif"/>
          <w:b w:val="false"/>
          <w:color w:val="231F20"/>
          <w:sz w:val="20"/>
        </w:rPr>
        <w:t>stock</w:t>
      </w:r>
      <w:r>
        <w:rPr>
          <w:color w:val="000000"/>
        </w:rPr>
        <w:t xml:space="preserve"> </w:t>
      </w:r>
      <w:r>
        <w:rPr>
          <w:rFonts w:ascii="Times New Roman;serif" w:hAnsi="Times New Roman;serif"/>
          <w:b w:val="false"/>
          <w:color w:val="000000"/>
          <w:sz w:val="20"/>
        </w:rPr>
        <w:t>of the Company. The warrants became exercisable 30 days from the completion of the Business Combination, on December 12, 2021, and will expire five years after the completion of the Business Combination or earlier upon redemption or liquidation. As of March 31, 2026, there are 5,749,986 public warrants outstanding and 2,187,283 private placement warrants outstanding from the Business Combination.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Each warrant entitles the holder to purchase one share of common stock for $11.50 per share. Private warrants held by the initial purchaser or certain permitted transferees may be exercised on a cashless basis.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reported last sale price of the common stock equals or exceeds $18.00 per share for any 20 trading days within a 30-trading day period ending three business days before the Company sends the notice of redemption to the warrant holders, the Company may redeem all the public warrants at a price of $0.01 per warrant upon not less than 30 days’ prior written notice.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Company calls the public warrants for redemption, management will have the option to require all holders that wish to exercise the public warrants to do so on a cashless basis. The Company will not be required to net cash settle the warrants.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private warrants from the Business Combination are exercisable on a cashless basis and are non-redeemable so long as they are held by the initial purchasers or their permitted transferees. If the private warrants from the Business Combination are held by someone other than the initial purchasers or their permitted transferees, such private warrants will be redeemable by the Company and exercisable by such holders on the same basis as the public warrants.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Private Placement Offering and Exchange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24, 2025, the Company entered into a securities purchase agreement (the “Securities Purchase Agreement”) with accredited investors for a private placement that resulted in gross proceeds of approximately $16,500 before deducting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pPr>
      <w:r>
        <w:rPr>
          <w:rFonts w:ascii="Times New Roman;serif" w:hAnsi="Times New Roman;serif"/>
          <w:b w:val="false"/>
          <w:color w:val="000000"/>
          <w:sz w:val="20"/>
        </w:rPr>
        <w:t>placement agent fees and offering expenses (the “PIPE”). Pursuant to the terms of the Securities Purchase Agreement, the Company issued to purchasers in the PIPE units consisting of two shares of common stock (or pre-funded warrants in lieu thereof) and common warrants to purchase one share of common stock (or pre-funded warrants) of the Company at a price of $2.2084 per unit (or $2.2082 in the case of units consisting of prefunded warrants). As a result of the PIPE the Company issued an aggregate of: (i) 12,006,510 shares of the Company’s common stock, par value $0.0001 per share (the “Common Stock”), (ii) pre-funded warrants (the “pre-funded Warrants”) to purchase up to an aggregate of 2,886,614 shares of common stock and (iii) accompanying common warrants (the “Common Warrants,”) to purchase up to an aggregate of 7,446,562 shares of common stock (collectively, the “PIPE”). In connection with the PIPE, certain Lenders under the Company’s Facility Agreement exercised their Participation Rights and entered into an exchange agreement pursuant to which such Lenders agreed to exchange approximately $4,100 aggregate principal amount of the Company’s senior secured convertible notes for 37,232.83 shares of common-equivalent preferred stock (convertible into 3,723,283 shares of common stock) and Common Warrants to purchase 1,861,642 shares of common stock. The exercise price and terms of these Common Warrants mirror the terms of the Common Warrants offered to investors in the PIPE.</w:t>
      </w:r>
      <w:r>
        <w:rPr>
          <w:color w:val="000000"/>
        </w:rPr>
        <w:t xml:space="preserve">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pre-funded Warrants have an exercise price of $0.0001 per share, and the Common Warrants have an exercise price of $1.1980 per share. The pre-funded Warrants and Common Warrants are subject to customary anti-dilution adjustments following certain events. The pre-funded Warrants and Common Warrants are exercisable at any time by the holder on a cash or cashless basis until the respective warrants are registered, provided that the holder may not exercise the warrants if the holder would own more than 4.9% of the Company immediately following the exercise. The warrants are equity classified in accordance with ASC 815-40.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all of the Exchange Warrants (Common Warrants) related to the lender and pre-funded Warrants issued were still outstanding. As of March 31, 2026, there were 8,216,918 Common Warrants outstanding.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At-The-Market Share Issuances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During the year ended </w:t>
      </w:r>
      <w:r>
        <w:rPr>
          <w:rFonts w:ascii="Times New Roman;serif" w:hAnsi="Times New Roman;serif"/>
          <w:b w:val="false"/>
          <w:color w:val="231F20"/>
          <w:sz w:val="20"/>
        </w:rPr>
        <w:t>December 31, 2025</w:t>
      </w:r>
      <w:r>
        <w:rPr>
          <w:rFonts w:ascii="Times New Roman;serif" w:hAnsi="Times New Roman;serif"/>
          <w:b w:val="false"/>
          <w:color w:val="000000"/>
          <w:sz w:val="20"/>
        </w:rPr>
        <w:t>, the Company sold 2.8 million shares of its Common Stock through its sales agent, B. Riley Securities. The Company generated approximately $9.6 million in aggregate gross proceeds from sales under the “at-the-market” offering program and paid fees to the sales agent of approximately $384 thousand. No sales were made during the quarter ended March 31, 2026.</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During the year ended </w:t>
      </w:r>
      <w:r>
        <w:rPr>
          <w:rFonts w:ascii="Times New Roman;serif" w:hAnsi="Times New Roman;serif"/>
          <w:b w:val="false"/>
          <w:color w:val="231F20"/>
          <w:sz w:val="20"/>
        </w:rPr>
        <w:t>December 31, 2025</w:t>
      </w:r>
      <w:r>
        <w:rPr>
          <w:rFonts w:ascii="Times New Roman;serif" w:hAnsi="Times New Roman;serif"/>
          <w:b w:val="false"/>
          <w:color w:val="000000"/>
          <w:sz w:val="20"/>
        </w:rPr>
        <w:t>, the Company sold 1.4 million shares of its Common Stock, through its sales agent, BTIG. The Company generated approximately $4.8 million in aggregate gross proceeds from sales under the “at-the-market” offering program and paid fees to the sales agent of approximately $192 thousand. No sales were made during the quarter ended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Note 14. Share-Based Compensation</w:t>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Non-Qualified Stock Option Plan                                                                                                                                                                                    </w:t>
      </w:r>
    </w:p>
    <w:p>
      <w:pPr>
        <w:pStyle w:val="TextBody"/>
        <w:bidi w:val="0"/>
        <w:spacing w:lineRule="auto" w:line="268" w:before="0" w:after="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On January 2, 2019, the Company issued and adopted the 2019 Non-Qualified Stock Option Plan (the “2019 Plan”) to incentivize directors, consultants, advisors, and other key employees of the Company and its subsidiaries to continue their association by providing opportunities to participate in the ownership and further growth of the Company. The 2019 Plan provides for the grant of options (the “Stock Options”) to shares of common stock of the Company. In conjunction with the Business Combination, the Company amended and fully restated the 2019 Plan through the establishment of the 2021 Incentive Plan (“2021 Plan”).</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Stock Options are granted from the pool of shares designated by the appropriate Committee of the Board of Directors. The grant-date fair value of each option award is estimated on the date of grant using the Black-Scholes-Merton option-pricing model. The grant date fair value of the service vesting and the performance vesting options is recognized as an expense over the requisite service period and upon the achievement of the performance condition deemed probable of being achieved, respectively. The exercise price of each Stock Option shall be determined by the Committee and may not be less than the fair market value of the shares of common stock on the date of grant. Stock Options have 10-year terms, after which they expire and are no longer exercisable.</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total number of shares of common stock for which Stock Options may be granted under the 2021 Plan shall not exceed 15,640,000. </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Stock Options become vested upon fulfillment of either service vesting conditions, performance vesting conditions, or both, as determined by the award agreement entered into by the Company and optionee. The service vesting requirement states that: (i) 25% of the service vesting options shall vest on the first anniversary of the grant date and (ii) the remaining 75% shall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231F20"/>
          <w:sz w:val="20"/>
        </w:rPr>
      </w:pPr>
      <w:r>
        <w:rPr>
          <w:rFonts w:ascii="Times New Roman;serif" w:hAnsi="Times New Roman;serif"/>
          <w:b w:val="false"/>
          <w:color w:val="231F20"/>
          <w:sz w:val="20"/>
        </w:rPr>
        <w:t>vest on an equal monthly-basis, so long as the optionee has remained continuously employed by the Company from the date of the award through the fourth anniversary of the grant date. The performance vesting requirement states that Stock Options shall vest upon sale of the Company only if the optionee has been continuously employed by the Company or its subsidiaries from the grant date through the date of such sale of the Company. For the awards vesting based on service conditions only and that have a graded vesting schedule, the Company recognizes compensation expense for vested awards in earnings, net of actual forfeitures in the period they occur, on a straight-line basis over the requisite service period.</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As of March 31, 2026, the total number of shares of common stock remaining available for future awards (e.g., non-qualified stock options, incentive stock options, restricted stock units, restricted stock awards) under the 2021 Plan is 10,719,656. There were no Stock Options granted for the three months ended March 31, 2026 and 2025. </w:t>
      </w:r>
    </w:p>
    <w:p>
      <w:pPr>
        <w:pStyle w:val="TextBody"/>
        <w:bidi w:val="0"/>
        <w:spacing w:lineRule="auto" w:line="26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Stock option activity during the three months ended March 31, 2026 and 2025 is as follows:</w:t>
      </w:r>
    </w:p>
    <w:tbl>
      <w:tblPr>
        <w:tblW w:w="10205" w:type="dxa"/>
        <w:jc w:val="center"/>
        <w:tblInd w:w="0" w:type="dxa"/>
        <w:tblLayout w:type="fixed"/>
        <w:tblCellMar>
          <w:top w:w="28" w:type="dxa"/>
          <w:left w:w="28" w:type="dxa"/>
          <w:bottom w:w="28" w:type="dxa"/>
          <w:right w:w="28" w:type="dxa"/>
        </w:tblCellMar>
      </w:tblPr>
      <w:tblGrid>
        <w:gridCol w:w="855"/>
        <w:gridCol w:w="555"/>
        <w:gridCol w:w="560"/>
        <w:gridCol w:w="109"/>
        <w:gridCol w:w="109"/>
        <w:gridCol w:w="109"/>
        <w:gridCol w:w="529"/>
        <w:gridCol w:w="473"/>
        <w:gridCol w:w="351"/>
        <w:gridCol w:w="109"/>
        <w:gridCol w:w="109"/>
        <w:gridCol w:w="109"/>
        <w:gridCol w:w="390"/>
        <w:gridCol w:w="947"/>
        <w:gridCol w:w="203"/>
        <w:gridCol w:w="109"/>
        <w:gridCol w:w="109"/>
        <w:gridCol w:w="109"/>
        <w:gridCol w:w="744"/>
        <w:gridCol w:w="744"/>
        <w:gridCol w:w="747"/>
        <w:gridCol w:w="109"/>
        <w:gridCol w:w="109"/>
        <w:gridCol w:w="109"/>
        <w:gridCol w:w="385"/>
        <w:gridCol w:w="1126"/>
        <w:gridCol w:w="288"/>
      </w:tblGrid>
      <w:tr>
        <w:trPr/>
        <w:tc>
          <w:tcPr>
            <w:tcW w:w="8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ind w:left="0" w:right="0" w:hanging="144"/>
              <w:jc w:val="left"/>
              <w:rPr>
                <w:sz w:val="4"/>
                <w:szCs w:val="4"/>
              </w:rPr>
            </w:pPr>
            <w:r>
              <w:rPr>
                <w:sz w:val="4"/>
                <w:szCs w:val="4"/>
              </w:rPr>
            </w:r>
          </w:p>
        </w:tc>
      </w:tr>
      <w:tr>
        <w:trPr/>
        <w:tc>
          <w:tcPr>
            <w:tcW w:w="19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Aggregate intrinsic value (in thousands)</w:t>
            </w:r>
          </w:p>
        </w:tc>
      </w:tr>
      <w:tr>
        <w:trPr/>
        <w:tc>
          <w:tcPr>
            <w:tcW w:w="197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4,022,196 </w:t>
            </w:r>
          </w:p>
        </w:tc>
        <w:tc>
          <w:tcPr>
            <w:tcW w:w="35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0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(25,330)</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(67,084)</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Balance at </w:t>
            </w:r>
            <w:r>
              <w:rPr>
                <w:rFonts w:ascii="Times New Roman;serif" w:hAnsi="Times New Roman;serif"/>
                <w:b/>
                <w:color w:val="231F2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3,929,782 </w:t>
            </w:r>
          </w:p>
        </w:tc>
        <w:tc>
          <w:tcPr>
            <w:tcW w:w="35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0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6,088 </w:t>
            </w:r>
          </w:p>
        </w:tc>
        <w:tc>
          <w:tcPr>
            <w:tcW w:w="28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Vested Options Exercisable at </w:t>
            </w:r>
            <w:r>
              <w:rPr>
                <w:rFonts w:ascii="Times New Roman;serif" w:hAnsi="Times New Roman;serif"/>
                <w:b w:val="false"/>
                <w:color w:val="231F2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3,144,466 </w:t>
            </w:r>
          </w:p>
        </w:tc>
        <w:tc>
          <w:tcPr>
            <w:tcW w:w="3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0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5,081 </w:t>
            </w:r>
          </w:p>
        </w:tc>
        <w:tc>
          <w:tcPr>
            <w:tcW w:w="28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66"/>
        <w:gridCol w:w="564"/>
        <w:gridCol w:w="568"/>
        <w:gridCol w:w="109"/>
        <w:gridCol w:w="109"/>
        <w:gridCol w:w="109"/>
        <w:gridCol w:w="529"/>
        <w:gridCol w:w="474"/>
        <w:gridCol w:w="353"/>
        <w:gridCol w:w="109"/>
        <w:gridCol w:w="109"/>
        <w:gridCol w:w="109"/>
        <w:gridCol w:w="394"/>
        <w:gridCol w:w="958"/>
        <w:gridCol w:w="205"/>
        <w:gridCol w:w="109"/>
        <w:gridCol w:w="109"/>
        <w:gridCol w:w="109"/>
        <w:gridCol w:w="755"/>
        <w:gridCol w:w="755"/>
        <w:gridCol w:w="757"/>
        <w:gridCol w:w="109"/>
        <w:gridCol w:w="109"/>
        <w:gridCol w:w="109"/>
        <w:gridCol w:w="390"/>
        <w:gridCol w:w="1139"/>
        <w:gridCol w:w="290"/>
      </w:tblGrid>
      <w:tr>
        <w:trPr/>
        <w:tc>
          <w:tcPr>
            <w:tcW w:w="76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ind w:left="0" w:right="0" w:hanging="144"/>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Aggregate intrinsic value (in thousands)</w:t>
            </w:r>
          </w:p>
        </w:tc>
      </w:tr>
      <w:tr>
        <w:trPr/>
        <w:tc>
          <w:tcPr>
            <w:tcW w:w="1898"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7,488,859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0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(160,537)</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(130,500)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(77,469)</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7,120,353 </w:t>
            </w:r>
          </w:p>
        </w:tc>
        <w:tc>
          <w:tcPr>
            <w:tcW w:w="35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0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29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Vested Options Exercisable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5,612,075 </w:t>
            </w:r>
          </w:p>
        </w:tc>
        <w:tc>
          <w:tcPr>
            <w:tcW w:w="35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2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Total share-based compensation expense related to stock options during the </w:t>
      </w:r>
      <w:r>
        <w:rPr>
          <w:rFonts w:ascii="Times New Roman;serif" w:hAnsi="Times New Roman;serif"/>
          <w:b w:val="false"/>
          <w:color w:val="000000"/>
          <w:sz w:val="20"/>
        </w:rPr>
        <w:t>three months</w:t>
      </w:r>
      <w:r>
        <w:rPr>
          <w:color w:val="231F20"/>
        </w:rPr>
        <w:t xml:space="preserve"> </w:t>
      </w:r>
      <w:r>
        <w:rPr>
          <w:rFonts w:ascii="Times New Roman;serif" w:hAnsi="Times New Roman;serif"/>
          <w:b w:val="false"/>
          <w:color w:val="231F20"/>
          <w:sz w:val="20"/>
        </w:rPr>
        <w:t>ended March 31, 2026 and 2025 was $58 and $106,</w:t>
      </w:r>
      <w:r>
        <w:rPr>
          <w:color w:val="231F20"/>
          <w:shd w:fill="FFFFFF" w:val="clear"/>
        </w:rPr>
        <w:t xml:space="preserve"> </w:t>
      </w:r>
      <w:r>
        <w:rPr>
          <w:rFonts w:ascii="Times New Roman;serif" w:hAnsi="Times New Roman;serif"/>
          <w:b w:val="false"/>
          <w:color w:val="231F20"/>
          <w:sz w:val="20"/>
          <w:shd w:fill="FFFFFF" w:val="clear"/>
        </w:rPr>
        <w:t>respectively</w:t>
      </w:r>
      <w:r>
        <w:rPr>
          <w:rFonts w:ascii="Times New Roman;serif" w:hAnsi="Times New Roman;serif"/>
          <w:b w:val="false"/>
          <w:color w:val="231F20"/>
          <w:sz w:val="20"/>
        </w:rPr>
        <w:t xml:space="preserve">. </w:t>
      </w:r>
      <w:r>
        <w:rPr>
          <w:rFonts w:ascii="Times New Roman;serif" w:hAnsi="Times New Roman;serif"/>
          <w:b w:val="false"/>
          <w:color w:val="000000"/>
          <w:sz w:val="20"/>
        </w:rPr>
        <w:t>The total intrinsic value of options exercised during three</w:t>
      </w:r>
      <w:r>
        <w:rPr>
          <w:color w:val="231F20"/>
        </w:rPr>
        <w:t xml:space="preserve"> </w:t>
      </w:r>
      <w:r>
        <w:rPr>
          <w:rFonts w:ascii="Times New Roman;serif" w:hAnsi="Times New Roman;serif"/>
          <w:b w:val="false"/>
          <w:color w:val="231F20"/>
          <w:sz w:val="20"/>
        </w:rPr>
        <w:t>months ended March 31, 2026 and</w:t>
      </w:r>
      <w:r>
        <w:rPr>
          <w:color w:val="000000"/>
        </w:rPr>
        <w:t xml:space="preserve"> </w:t>
      </w:r>
      <w:r>
        <w:rPr>
          <w:rFonts w:ascii="Times New Roman;serif" w:hAnsi="Times New Roman;serif"/>
          <w:b w:val="false"/>
          <w:color w:val="231F20"/>
          <w:sz w:val="20"/>
        </w:rPr>
        <w:t xml:space="preserve">2025 </w:t>
      </w:r>
      <w:r>
        <w:rPr>
          <w:rFonts w:ascii="Times New Roman;serif" w:hAnsi="Times New Roman;serif"/>
          <w:b w:val="false"/>
          <w:color w:val="000000"/>
          <w:sz w:val="20"/>
        </w:rPr>
        <w:t>was $93 and $176, respectively.</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At March 31, 2026, there was $288 of total unrecognized compensation cost related to unvested service stock options </w:t>
      </w:r>
      <w:r>
        <w:rPr>
          <w:rFonts w:ascii="Times New Roman;serif" w:hAnsi="Times New Roman;serif"/>
          <w:b w:val="false"/>
          <w:color w:val="231F20"/>
          <w:sz w:val="20"/>
          <w:shd w:fill="FFFFFF" w:val="clear"/>
        </w:rPr>
        <w:t xml:space="preserve">granted under the 2021 Plan </w:t>
      </w:r>
      <w:r>
        <w:rPr>
          <w:rFonts w:ascii="Times New Roman;serif" w:hAnsi="Times New Roman;serif"/>
          <w:b w:val="false"/>
          <w:color w:val="231F20"/>
          <w:sz w:val="20"/>
        </w:rPr>
        <w:t xml:space="preserve">that are expected to vest. That cost is expected to be recognized over a weighted average period of 1.54 years as of March 31, 2026. During the </w:t>
      </w:r>
      <w:r>
        <w:rPr>
          <w:rFonts w:ascii="Times New Roman;serif" w:hAnsi="Times New Roman;serif"/>
          <w:b w:val="false"/>
          <w:color w:val="000000"/>
          <w:sz w:val="20"/>
        </w:rPr>
        <w:t>three months</w:t>
      </w:r>
      <w:r>
        <w:rPr>
          <w:color w:val="231F20"/>
        </w:rPr>
        <w:t xml:space="preserve"> </w:t>
      </w:r>
      <w:r>
        <w:rPr>
          <w:rFonts w:ascii="Times New Roman;serif" w:hAnsi="Times New Roman;serif"/>
          <w:b w:val="false"/>
          <w:color w:val="231F20"/>
          <w:sz w:val="20"/>
        </w:rPr>
        <w:t>ended March 31, 2026, the Company received $21 in cash and $71 tax benefit from the stock options exercised. The total fair value of shares of common stock vested during the three months ended March 31, 2026 and 2025 was $1,282 and $160, respectively.</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 xml:space="preserve">Restricted Stock Units (“RSUs”) </w:t>
      </w:r>
    </w:p>
    <w:p>
      <w:pPr>
        <w:pStyle w:val="TextBody"/>
        <w:bidi w:val="0"/>
        <w:spacing w:lineRule="auto" w:line="268" w:before="0" w:after="0"/>
        <w:ind w:left="0" w:right="0" w:firstLine="360"/>
        <w:jc w:val="both"/>
        <w:rPr/>
      </w:pPr>
      <w:r>
        <w:rPr>
          <w:rFonts w:ascii="Times New Roman;serif" w:hAnsi="Times New Roman;serif"/>
          <w:b w:val="false"/>
          <w:color w:val="000000"/>
          <w:sz w:val="20"/>
        </w:rPr>
        <w:t xml:space="preserve">The Company has 4,606,951 and 3,436,019 RSUs outstanding as of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000000"/>
          <w:sz w:val="20"/>
        </w:rPr>
        <w:t>and December 31, 2025, respectively.</w:t>
      </w:r>
      <w:r>
        <w:rPr>
          <w:color w:val="000000"/>
        </w:rPr>
        <w:t xml:space="preserve"> </w:t>
      </w:r>
      <w:r>
        <w:rPr>
          <w:rFonts w:ascii="Times New Roman;serif" w:hAnsi="Times New Roman;serif"/>
          <w:b w:val="false"/>
          <w:color w:val="000000"/>
          <w:sz w:val="20"/>
        </w:rPr>
        <w:t xml:space="preserve">The RSUs are service vesting and are valued based on the fair value of the Company’s common stock at the date of grant. The weighted-average grant date fair values of the RSUs granted during three months ended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000000"/>
          <w:sz w:val="20"/>
        </w:rPr>
        <w:t>and 2025, were determined to be $2.98 and $1.14, respectively, based on the fair value of the Company’s common stock at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A summary of the activity for the RSUs for the three months ended March 31, 2026 and 2025, respectively, are shown in the following table:</w:t>
      </w:r>
    </w:p>
    <w:tbl>
      <w:tblPr>
        <w:tblW w:w="10205" w:type="dxa"/>
        <w:jc w:val="left"/>
        <w:tblInd w:w="0" w:type="dxa"/>
        <w:tblLayout w:type="fixed"/>
        <w:tblCellMar>
          <w:top w:w="28" w:type="dxa"/>
          <w:left w:w="28" w:type="dxa"/>
          <w:bottom w:w="28" w:type="dxa"/>
          <w:right w:w="28" w:type="dxa"/>
        </w:tblCellMar>
      </w:tblPr>
      <w:tblGrid>
        <w:gridCol w:w="617"/>
        <w:gridCol w:w="542"/>
        <w:gridCol w:w="544"/>
        <w:gridCol w:w="109"/>
        <w:gridCol w:w="109"/>
        <w:gridCol w:w="109"/>
        <w:gridCol w:w="539"/>
        <w:gridCol w:w="492"/>
        <w:gridCol w:w="393"/>
        <w:gridCol w:w="109"/>
        <w:gridCol w:w="109"/>
        <w:gridCol w:w="109"/>
        <w:gridCol w:w="550"/>
        <w:gridCol w:w="1335"/>
        <w:gridCol w:w="286"/>
        <w:gridCol w:w="109"/>
        <w:gridCol w:w="109"/>
        <w:gridCol w:w="109"/>
        <w:gridCol w:w="539"/>
        <w:gridCol w:w="492"/>
        <w:gridCol w:w="393"/>
        <w:gridCol w:w="109"/>
        <w:gridCol w:w="109"/>
        <w:gridCol w:w="109"/>
        <w:gridCol w:w="523"/>
        <w:gridCol w:w="1267"/>
        <w:gridCol w:w="385"/>
      </w:tblGrid>
      <w:tr>
        <w:trPr/>
        <w:tc>
          <w:tcPr>
            <w:tcW w:w="6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3,436,019 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1,509,737 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2,329,320 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3,815,213 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8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(1,029,502)</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(1,072,022)</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8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38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Unvested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4,606,951 </w:t>
            </w:r>
          </w:p>
        </w:tc>
        <w:tc>
          <w:tcPr>
            <w:tcW w:w="39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4,126,042 </w:t>
            </w:r>
          </w:p>
        </w:tc>
        <w:tc>
          <w:tcPr>
            <w:tcW w:w="39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total share-based compensation expense related to RSUs was $557 and $215, respectively, during the three months ended </w:t>
      </w:r>
      <w:r>
        <w:rPr>
          <w:rFonts w:ascii="Times New Roman;serif" w:hAnsi="Times New Roman;serif"/>
          <w:b w:val="false"/>
          <w:color w:val="231F20"/>
          <w:sz w:val="20"/>
        </w:rPr>
        <w:t xml:space="preserve">March 31, 2026 and 2025. </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of </w:t>
      </w:r>
      <w:r>
        <w:rPr>
          <w:rFonts w:ascii="Times New Roman;serif" w:hAnsi="Times New Roman;serif"/>
          <w:b w:val="false"/>
          <w:color w:val="231F20"/>
          <w:sz w:val="20"/>
        </w:rPr>
        <w:t xml:space="preserve">March 31, 2026 </w:t>
      </w:r>
      <w:r>
        <w:rPr>
          <w:rFonts w:ascii="Times New Roman;serif" w:hAnsi="Times New Roman;serif"/>
          <w:b w:val="false"/>
          <w:color w:val="000000"/>
          <w:sz w:val="20"/>
        </w:rPr>
        <w:t xml:space="preserve">there was $8,567 of unrecognized compensation expense related to the RSUs that are expected to vest. That cost is expected to be recognized over a weighted average period of 3.55 years as of </w:t>
      </w:r>
      <w:r>
        <w:rPr>
          <w:rFonts w:ascii="Times New Roman;serif" w:hAnsi="Times New Roman;serif"/>
          <w:b w:val="false"/>
          <w:color w:val="231F20"/>
          <w:sz w:val="20"/>
        </w:rPr>
        <w:t>March 31, 2026</w:t>
      </w:r>
      <w:r>
        <w:rPr>
          <w:rFonts w:ascii="Times New Roman;serif" w:hAnsi="Times New Roman;serif"/>
          <w:b w:val="false"/>
          <w:color w:val="000000"/>
          <w:sz w:val="20"/>
        </w:rPr>
        <w:t xml:space="preserve">. </w:t>
      </w:r>
    </w:p>
    <w:p>
      <w:pPr>
        <w:pStyle w:val="TextBody"/>
        <w:bidi w:val="0"/>
        <w:spacing w:lineRule="auto" w:line="288" w:before="0" w:after="200"/>
        <w:jc w:val="both"/>
        <w:rPr>
          <w:rFonts w:ascii="Times New Roman;serif" w:hAnsi="Times New Roman;serif"/>
          <w:b/>
          <w:i/>
          <w:color w:val="231F20"/>
          <w:sz w:val="20"/>
        </w:rPr>
      </w:pPr>
      <w:r>
        <w:rPr>
          <w:rFonts w:ascii="Times New Roman;serif" w:hAnsi="Times New Roman;serif"/>
          <w:b/>
          <w:i/>
          <w:color w:val="231F20"/>
          <w:sz w:val="20"/>
        </w:rPr>
        <w:t>RSUs granted to Medical Employees and Nonemployees</w:t>
      </w:r>
    </w:p>
    <w:p>
      <w:pPr>
        <w:pStyle w:val="TextBody"/>
        <w:bidi w:val="0"/>
        <w:spacing w:lineRule="auto" w:line="268" w:before="0" w:after="0"/>
        <w:ind w:left="0" w:right="0" w:firstLine="360"/>
        <w:jc w:val="both"/>
        <w:rPr/>
      </w:pPr>
      <w:r>
        <w:rPr>
          <w:rFonts w:ascii="Times New Roman;serif" w:hAnsi="Times New Roman;serif"/>
          <w:b w:val="false"/>
          <w:color w:val="231F20"/>
          <w:sz w:val="20"/>
        </w:rPr>
        <w:t xml:space="preserve">In 2022, the Company entered into arrangements with certain medical directors and supervisors of advanced practice providers employed by or engaged as independent contractors of TOI to issue RSUs of the Company (“Medical RSUs”). Vesting on each annual Medical RSU award is dependent on the participant performing a specified minimum number of service hours during the calendar year (“One-Year Term”) and further contingent upon the participant’s continued service to, or employment by, the Company through the grant date. The Company’s regular grant date for these Medical RSU awards is in the first quarter of the calendar year following the one-Year Term. During the </w:t>
      </w:r>
      <w:r>
        <w:rPr>
          <w:rFonts w:ascii="Times New Roman;serif" w:hAnsi="Times New Roman;serif"/>
          <w:b w:val="false"/>
          <w:color w:val="000000"/>
          <w:sz w:val="20"/>
        </w:rPr>
        <w:t>three</w:t>
      </w:r>
      <w:r>
        <w:rPr>
          <w:color w:val="231F20"/>
        </w:rPr>
        <w:t xml:space="preserve"> </w:t>
      </w:r>
      <w:r>
        <w:rPr>
          <w:rFonts w:ascii="Times New Roman;serif" w:hAnsi="Times New Roman;serif"/>
          <w:b w:val="false"/>
          <w:color w:val="231F20"/>
          <w:sz w:val="20"/>
        </w:rPr>
        <w:t xml:space="preserve">months ended March 31, 2026 and 2025, 332,803 and 997,806 Medical RSU awards were granted, respectively. </w:t>
      </w:r>
    </w:p>
    <w:p>
      <w:pPr>
        <w:pStyle w:val="TextBody"/>
        <w:bidi w:val="0"/>
        <w:spacing w:lineRule="auto" w:line="268" w:before="0" w:after="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number of Medical RSUs granted to each such participant is determined by the fair market value of the Company's stock price at the grant date and vest immediately. There were no unvested equity-classified Medical RSU awards outstanding as of March 31, 2026 or 2025.</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A summary of the activity for the equity-classified Medical RSUs for the </w:t>
      </w:r>
      <w:r>
        <w:rPr>
          <w:rFonts w:ascii="Times New Roman;serif" w:hAnsi="Times New Roman;serif"/>
          <w:b w:val="false"/>
          <w:color w:val="000000"/>
          <w:sz w:val="20"/>
        </w:rPr>
        <w:t>three</w:t>
      </w:r>
      <w:r>
        <w:rPr>
          <w:color w:val="231F20"/>
        </w:rPr>
        <w:t xml:space="preserve"> </w:t>
      </w:r>
      <w:r>
        <w:rPr>
          <w:rFonts w:ascii="Times New Roman;serif" w:hAnsi="Times New Roman;serif"/>
          <w:b w:val="false"/>
          <w:color w:val="231F20"/>
          <w:sz w:val="20"/>
        </w:rPr>
        <w:t>months ended March 31, 2026 and 2025, respectively, is shown in the following table:</w:t>
      </w:r>
    </w:p>
    <w:tbl>
      <w:tblPr>
        <w:tblW w:w="5517" w:type="dxa"/>
        <w:jc w:val="left"/>
        <w:tblInd w:w="0" w:type="dxa"/>
        <w:tblLayout w:type="fixed"/>
        <w:tblCellMar>
          <w:top w:w="28" w:type="dxa"/>
          <w:left w:w="28" w:type="dxa"/>
          <w:bottom w:w="28" w:type="dxa"/>
          <w:right w:w="28" w:type="dxa"/>
        </w:tblCellMar>
      </w:tblPr>
      <w:tblGrid>
        <w:gridCol w:w="956"/>
        <w:gridCol w:w="840"/>
        <w:gridCol w:w="843"/>
        <w:gridCol w:w="450"/>
        <w:gridCol w:w="450"/>
        <w:gridCol w:w="439"/>
        <w:gridCol w:w="450"/>
        <w:gridCol w:w="450"/>
        <w:gridCol w:w="639"/>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53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332,803 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997,806 </w:t>
            </w:r>
          </w:p>
        </w:tc>
        <w:tc>
          <w:tcPr>
            <w:tcW w:w="63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(332,803)</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(997,806)</w:t>
            </w:r>
          </w:p>
        </w:tc>
        <w:tc>
          <w:tcPr>
            <w:tcW w:w="63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end of period</w:t>
            </w:r>
          </w:p>
        </w:tc>
        <w:tc>
          <w:tcPr>
            <w:tcW w:w="900"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3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Total compensation costs for Medical RSUs was </w:t>
      </w:r>
      <w:r>
        <w:rPr>
          <w:rFonts w:ascii="Times New Roman;serif" w:hAnsi="Times New Roman;serif"/>
          <w:b w:val="false"/>
          <w:color w:val="000000"/>
          <w:sz w:val="20"/>
        </w:rPr>
        <w:t>$1,032</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$1,137</w:t>
      </w:r>
      <w:r>
        <w:rPr>
          <w:color w:val="231F20"/>
        </w:rPr>
        <w:t xml:space="preserve"> </w:t>
      </w:r>
      <w:r>
        <w:rPr>
          <w:rFonts w:ascii="Times New Roman;serif" w:hAnsi="Times New Roman;serif"/>
          <w:b w:val="false"/>
          <w:color w:val="231F20"/>
          <w:sz w:val="20"/>
        </w:rPr>
        <w:t xml:space="preserve">for the three months ended March 31, 2026 and 2025, respectively. As of March 31, 2026, all Medical RSUs had vested. </w:t>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Employee Stock Purchase Plan (ESPP)</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In connection with the Business Combination, the Company adopted the 2021 Employee Stock Purchase Plan ("2021 ESPP”). The 2021 ESPP has reserved 3,591,088 shares of the Company’s common stock for issuance to eligible employees, who are entitled to purchase shares of common stock equal to 85% of the lower of the closing price on the purchase date or the six month closing price average during the contribution period through accumulated payroll deductions. During the </w:t>
      </w:r>
      <w:r>
        <w:rPr>
          <w:rFonts w:ascii="Times New Roman;serif" w:hAnsi="Times New Roman;serif"/>
          <w:b w:val="false"/>
          <w:color w:val="000000"/>
          <w:sz w:val="20"/>
        </w:rPr>
        <w:t>three</w:t>
      </w:r>
      <w:r>
        <w:rPr>
          <w:color w:val="231F20"/>
        </w:rPr>
        <w:t xml:space="preserve"> </w:t>
      </w:r>
      <w:r>
        <w:rPr>
          <w:rFonts w:ascii="Times New Roman;serif" w:hAnsi="Times New Roman;serif"/>
          <w:b w:val="false"/>
          <w:color w:val="231F20"/>
          <w:sz w:val="20"/>
        </w:rPr>
        <w:t xml:space="preserve">months ended March 31, 2026, the Company issued 84,392 shares of common stock under the ESPP and recognized $39 and $0, respectively, in share-based compensation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15. Commitments and Contingencies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evaluates contingencies based upon available evidence. In addition, allowances for losses are provided each year for disputed items which have continuing significance. The Company believes that allowances for losses have been provided to the extent necessary, and that its assessment of contingencies is reasonable. Due to the inherent uncertainties and subjectivity involved in accounting for contingencies, there is at least a reasonable possibility that recorded estimates will change by a material amount in the near term. To the extent that the resolution of contingencies results in amounts which vary from management’s estimates, future operating results will be charged or credited. The principal commitments and contingencies are described below.</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Legal Matters</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Company is subject to certain outside claims and litigation arising in the ordinary course of business. In the opinion of Management, the outcome of such matters will not have a material effect on the Company’s condensed consolidated financial statements. Loss contingencies entail uncertainty and a possibility of loss to an entity. If the loss is probable and the amount of loss can be reasonably estimated, the loss should be accrued according to </w:t>
      </w:r>
      <w:r>
        <w:rPr>
          <w:rFonts w:ascii="Times New Roman;serif" w:hAnsi="Times New Roman;serif"/>
          <w:b w:val="false"/>
          <w:color w:val="000000"/>
          <w:sz w:val="20"/>
        </w:rPr>
        <w:t>ASC No. 450-20,</w:t>
      </w:r>
      <w:r>
        <w:rPr>
          <w:color w:val="000000"/>
        </w:rPr>
        <w:t xml:space="preserve"> </w:t>
      </w:r>
      <w:r>
        <w:rPr>
          <w:rFonts w:ascii="Times New Roman;serif" w:hAnsi="Times New Roman;serif"/>
          <w:b w:val="false"/>
          <w:i/>
          <w:color w:val="000000"/>
          <w:sz w:val="20"/>
        </w:rPr>
        <w:t>Disclosure of Certain Loss Contingencies</w:t>
      </w:r>
      <w:r>
        <w:rPr>
          <w:rFonts w:ascii="Times New Roman;serif" w:hAnsi="Times New Roman;serif"/>
          <w:b w:val="false"/>
          <w:color w:val="231F20"/>
          <w:sz w:val="20"/>
        </w:rPr>
        <w:t xml:space="preserve">. </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Indemnities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Company’s Amended and Restated Certificate of Incorporation and amended and restated bylaws require it, among other things, to indemnify any director or officer against specified expenses and liabilities, such as attorneys’ fees, judgments, fines, and settlements, paid by the individual in connection with any action, suit, or proceeding arising out of the individual’s status or service as its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it could be obligated to make. Historically, the Company has not incurred any payments for these obligations and, therefore, no liabilities have been recorded for these indemnities in the accompanying condensed consolidated balance sheets.</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The Health Insurance Portability and Accountability Act</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Health Insurance Portability and Accountability Act (“HIPAA”) assures health insurance portability, reduces healthcare fraud and abuse, guarantees security and privacy of health information, and enforces standards for health information. Organizations are required to be in compliance with HIPAA provisions. The Health Information Technology for Economic and Clinical Health Act (“HITECH”) imposes notification requirements in the event of certain security breaches relating to protected health information. Organizations are subject to significant fines and penalties if found not to be compliant with the provisions outlined in the regulations. The Company believes it is in compliance with these laws.</w:t>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Regulatory Matters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Laws and regulations governing the Medicare program and healthcare generally, are complex and subject to interpretation. The Company believes that it is in compliance with all applicable laws and regulations and is not aware of any pending or threatened investigations involving allegations of potential wrongdoing. While no regulatory inquiries have been made, compliance with such laws and regulations can be subject to future government review and interpretation as well as significant regulatory action including fines, penalties, and exclusion from the Medicare and Medi-Cal programs.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Many of the Company’s payor and provider contracts are complex in nature and may be subject to differing interpretations regarding amounts due for the provision of medical services. Such differing interpretations may not come to light until a substantial period of time has passed following contract implementation. Liabilities for claims disputes are recorded when the loss is probable and can be estimated. Any adjustments to reserves are reflected in current operations. The Company does not have any reserves for regulatory matters as of March 31, 2026 and December 31, 2025.</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Liability Insurance</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believes that its insurance coverage is appropriate based upon the Company’s claims experience and the nature and risks of the Company’s business. In addition to the known incidents that have resulted in the assertion of claims, the Company cannot be certain that its insurance coverage will be adequate to cover liabilities, arising out of claims asserted against the Company or the Company’s affiliated professional organizations, in the future where the outcomes of such claims are unfavorable.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believes that the ultimate resolution of all pending claims, including liabilities in excess of the Company’s insurance coverage, will not have a material adverse effect on the Company’s financial position, results of operations or cash flows; however, there can be no assurance that future claims will not have such a material adverse effect on the Company’s business. Contracted physicians are required to obtain their own insurance coverage.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Guarantees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along with certain of the Company's subsidiaries from time to time party to the Facility Agreement (“Guarantors”), have pledged a first priority perfected lien on substantially all of their respective personal and real property, as collateral security for the payment of outstanding obligations, under the Facility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16. Variable Interest Entities</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Company prepares its condensed consolidated financial statements in accordance with Accounting Standards Codification Topic No. 810, </w:t>
      </w:r>
      <w:r>
        <w:rPr>
          <w:rFonts w:ascii="Times New Roman;serif" w:hAnsi="Times New Roman;serif"/>
          <w:b w:val="false"/>
          <w:i/>
          <w:color w:val="231F20"/>
          <w:sz w:val="20"/>
        </w:rPr>
        <w:t xml:space="preserve">Consolidations </w:t>
      </w:r>
      <w:r>
        <w:rPr>
          <w:rFonts w:ascii="Times New Roman;serif" w:hAnsi="Times New Roman;serif"/>
          <w:b w:val="false"/>
          <w:color w:val="231F20"/>
          <w:sz w:val="20"/>
        </w:rPr>
        <w:t>(“ASC 810”), which provides for the consolidation of VIEs of which an entity is the primary beneficiary.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MSAs established with the TOI PCs, TOI Management is entitled to receive a management fee, which represents a variable interest in and the right to receive the benefits of the TOI PCs. Through the terms of the MSAs, TOI Management receives the right to direct the most significant activities of the TOI PCs. Therefore, the TOI PCs are variable interest entities and TOI Management is the primary beneficiary that consolidates the TOI PCs, and their subsidiaries.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condensed consolidated financial statements include the accounts of TOI and its subsidiaries and VIEs. All inter-company profits, transactions, and balances have been eliminated upon consolidation.</w:t>
      </w:r>
    </w:p>
    <w:tbl>
      <w:tblPr>
        <w:tblW w:w="7361" w:type="dxa"/>
        <w:jc w:val="left"/>
        <w:tblInd w:w="0" w:type="dxa"/>
        <w:tblLayout w:type="fixed"/>
        <w:tblCellMar>
          <w:top w:w="28" w:type="dxa"/>
          <w:left w:w="28" w:type="dxa"/>
          <w:bottom w:w="28" w:type="dxa"/>
          <w:right w:w="28" w:type="dxa"/>
        </w:tblCellMar>
      </w:tblPr>
      <w:tblGrid>
        <w:gridCol w:w="1384"/>
        <w:gridCol w:w="1218"/>
        <w:gridCol w:w="1223"/>
        <w:gridCol w:w="265"/>
        <w:gridCol w:w="1038"/>
        <w:gridCol w:w="137"/>
        <w:gridCol w:w="109"/>
        <w:gridCol w:w="109"/>
        <w:gridCol w:w="109"/>
        <w:gridCol w:w="313"/>
        <w:gridCol w:w="1228"/>
        <w:gridCol w:w="228"/>
      </w:tblGrid>
      <w:tr>
        <w:trPr/>
        <w:tc>
          <w:tcPr>
            <w:tcW w:w="138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 </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 </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w:t>
            </w:r>
          </w:p>
        </w:tc>
        <w:tc>
          <w:tcPr>
            <w:tcW w:w="2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12,290 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59,583 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59,103 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16,874 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0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96,161 </w:t>
            </w:r>
          </w:p>
        </w:tc>
        <w:tc>
          <w:tcPr>
            <w:tcW w:w="13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81,168 </w:t>
            </w:r>
          </w:p>
        </w:tc>
        <w:tc>
          <w:tcPr>
            <w:tcW w:w="22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4,376 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6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103,665 </w:t>
            </w:r>
          </w:p>
        </w:tc>
        <w:tc>
          <w:tcPr>
            <w:tcW w:w="13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88,806 </w:t>
            </w:r>
          </w:p>
        </w:tc>
        <w:tc>
          <w:tcPr>
            <w:tcW w:w="22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40,864 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19,959 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14,546 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to affiliates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269,351 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254,396 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0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333,939 </w:t>
            </w:r>
          </w:p>
        </w:tc>
        <w:tc>
          <w:tcPr>
            <w:tcW w:w="13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309,806 </w:t>
            </w:r>
          </w:p>
        </w:tc>
        <w:tc>
          <w:tcPr>
            <w:tcW w:w="22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333,954 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309,806 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000000"/>
          <w:sz w:val="20"/>
        </w:rPr>
        <w:t>Single physician holders, who are officers of the Company, retain equity ownership in TOI CA, TOI FL, TOI TX, and TOI OR, which represents nominal noncontrolling interests. However, the noncontrolling interests do not participate in the profit or loss of TOI CA, TOI FL, TOI TX, and TOI OR.</w:t>
      </w:r>
      <w:r>
        <w:rPr>
          <w:color w:val="231F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17. Goodwill and Intangible Assets</w:t>
      </w:r>
    </w:p>
    <w:p>
      <w:pPr>
        <w:pStyle w:val="TextBody"/>
        <w:bidi w:val="0"/>
        <w:spacing w:before="0" w:after="20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Intangible Assets</w:t>
      </w:r>
    </w:p>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As of March 31, 2026, the Company’s intangible assets, net consists of the following:</w:t>
      </w:r>
    </w:p>
    <w:tbl>
      <w:tblPr>
        <w:tblW w:w="10205" w:type="dxa"/>
        <w:jc w:val="left"/>
        <w:tblInd w:w="0" w:type="dxa"/>
        <w:tblLayout w:type="fixed"/>
        <w:tblCellMar>
          <w:top w:w="28" w:type="dxa"/>
          <w:left w:w="28" w:type="dxa"/>
          <w:bottom w:w="28" w:type="dxa"/>
          <w:right w:w="28" w:type="dxa"/>
        </w:tblCellMar>
      </w:tblPr>
      <w:tblGrid>
        <w:gridCol w:w="737"/>
        <w:gridCol w:w="568"/>
        <w:gridCol w:w="570"/>
        <w:gridCol w:w="794"/>
        <w:gridCol w:w="794"/>
        <w:gridCol w:w="796"/>
        <w:gridCol w:w="109"/>
        <w:gridCol w:w="109"/>
        <w:gridCol w:w="109"/>
        <w:gridCol w:w="323"/>
        <w:gridCol w:w="1107"/>
        <w:gridCol w:w="167"/>
        <w:gridCol w:w="109"/>
        <w:gridCol w:w="109"/>
        <w:gridCol w:w="109"/>
        <w:gridCol w:w="364"/>
        <w:gridCol w:w="1276"/>
        <w:gridCol w:w="191"/>
        <w:gridCol w:w="109"/>
        <w:gridCol w:w="109"/>
        <w:gridCol w:w="109"/>
        <w:gridCol w:w="297"/>
        <w:gridCol w:w="1016"/>
        <w:gridCol w:w="224"/>
      </w:tblGrid>
      <w:tr>
        <w:trPr/>
        <w:tc>
          <w:tcPr>
            <w:tcW w:w="73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3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38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 </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Amortizing intangible assets:</w:t>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 </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Payor contracts</w:t>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22,191 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(14,605)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22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2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29,767 </w:t>
            </w:r>
          </w:p>
        </w:tc>
        <w:tc>
          <w:tcPr>
            <w:tcW w:w="16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(19,467)</w:t>
            </w:r>
          </w:p>
        </w:tc>
        <w:tc>
          <w:tcPr>
            <w:tcW w:w="1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10,300 </w:t>
            </w:r>
          </w:p>
        </w:tc>
        <w:tc>
          <w:tcPr>
            <w:tcW w:w="22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As of December 31, 2025, the Company’s intangible assets, net consists of the following:</w:t>
      </w:r>
    </w:p>
    <w:tbl>
      <w:tblPr>
        <w:tblW w:w="10205" w:type="dxa"/>
        <w:jc w:val="left"/>
        <w:tblInd w:w="0" w:type="dxa"/>
        <w:tblLayout w:type="fixed"/>
        <w:tblCellMar>
          <w:top w:w="28" w:type="dxa"/>
          <w:left w:w="28" w:type="dxa"/>
          <w:bottom w:w="28" w:type="dxa"/>
          <w:right w:w="28" w:type="dxa"/>
        </w:tblCellMar>
      </w:tblPr>
      <w:tblGrid>
        <w:gridCol w:w="912"/>
        <w:gridCol w:w="721"/>
        <w:gridCol w:w="723"/>
        <w:gridCol w:w="727"/>
        <w:gridCol w:w="727"/>
        <w:gridCol w:w="729"/>
        <w:gridCol w:w="109"/>
        <w:gridCol w:w="109"/>
        <w:gridCol w:w="109"/>
        <w:gridCol w:w="304"/>
        <w:gridCol w:w="1040"/>
        <w:gridCol w:w="157"/>
        <w:gridCol w:w="109"/>
        <w:gridCol w:w="109"/>
        <w:gridCol w:w="109"/>
        <w:gridCol w:w="343"/>
        <w:gridCol w:w="1202"/>
        <w:gridCol w:w="180"/>
        <w:gridCol w:w="109"/>
        <w:gridCol w:w="109"/>
        <w:gridCol w:w="109"/>
        <w:gridCol w:w="282"/>
        <w:gridCol w:w="965"/>
        <w:gridCol w:w="212"/>
      </w:tblGrid>
      <w:tr>
        <w:trPr/>
        <w:tc>
          <w:tcPr>
            <w:tcW w:w="91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1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183"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 </w:t>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Amortizing intangible assets:</w:t>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 </w:t>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Payor contracts</w:t>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(14,095)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8,096 </w:t>
            </w:r>
          </w:p>
        </w:tc>
        <w:tc>
          <w:tcPr>
            <w:tcW w:w="212"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212"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contracts and noncompete agreements</w:t>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12"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2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29,767 </w:t>
            </w:r>
          </w:p>
        </w:tc>
        <w:tc>
          <w:tcPr>
            <w:tcW w:w="1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(18,752)</w:t>
            </w:r>
          </w:p>
        </w:tc>
        <w:tc>
          <w:tcPr>
            <w:tcW w:w="18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11,015 </w:t>
            </w:r>
          </w:p>
        </w:tc>
        <w:tc>
          <w:tcPr>
            <w:tcW w:w="21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estimated aggregate amortization expense for each of the five succeeding fiscal years as of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000000"/>
          <w:sz w:val="20"/>
        </w:rPr>
        <w:t>is as follows:</w:t>
      </w:r>
    </w:p>
    <w:tbl>
      <w:tblPr>
        <w:tblW w:w="3666" w:type="dxa"/>
        <w:jc w:val="left"/>
        <w:tblInd w:w="0" w:type="dxa"/>
        <w:tblLayout w:type="fixed"/>
        <w:tblCellMar>
          <w:top w:w="28" w:type="dxa"/>
          <w:left w:w="28" w:type="dxa"/>
          <w:bottom w:w="28" w:type="dxa"/>
          <w:right w:w="28" w:type="dxa"/>
        </w:tblCellMar>
      </w:tblPr>
      <w:tblGrid>
        <w:gridCol w:w="934"/>
        <w:gridCol w:w="822"/>
        <w:gridCol w:w="824"/>
        <w:gridCol w:w="211"/>
        <w:gridCol w:w="721"/>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nine months)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aggregate amortization expense during the </w:t>
      </w:r>
      <w:r>
        <w:rPr>
          <w:rFonts w:ascii="Times New Roman;serif" w:hAnsi="Times New Roman;serif"/>
          <w:b w:val="false"/>
          <w:color w:val="231F20"/>
          <w:sz w:val="20"/>
        </w:rPr>
        <w:t>three months ended March 31, 2026 and 2025</w:t>
      </w:r>
      <w:r>
        <w:rPr>
          <w:color w:val="000000"/>
        </w:rPr>
        <w:t xml:space="preserve"> </w:t>
      </w:r>
      <w:r>
        <w:rPr>
          <w:rFonts w:ascii="Times New Roman;serif" w:hAnsi="Times New Roman;serif"/>
          <w:b w:val="false"/>
          <w:color w:val="000000"/>
          <w:sz w:val="20"/>
        </w:rPr>
        <w:t>was $715 and $773,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Goodwill</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evaluates goodwill at the reporting unit level, which, for the Company, is at the level of the reportable segments, specialty pharmacy, patient services, and clinical trials &amp; other. The goodwill allocated to each of the reporting units as of March 31, 2026 and December 31, 2025 is as follows:</w:t>
      </w:r>
    </w:p>
    <w:tbl>
      <w:tblPr>
        <w:tblW w:w="5426" w:type="dxa"/>
        <w:jc w:val="left"/>
        <w:tblInd w:w="0" w:type="dxa"/>
        <w:tblLayout w:type="fixed"/>
        <w:tblCellMar>
          <w:top w:w="28" w:type="dxa"/>
          <w:left w:w="28" w:type="dxa"/>
          <w:bottom w:w="28" w:type="dxa"/>
          <w:right w:w="28" w:type="dxa"/>
        </w:tblCellMar>
      </w:tblPr>
      <w:tblGrid>
        <w:gridCol w:w="684"/>
        <w:gridCol w:w="602"/>
        <w:gridCol w:w="604"/>
        <w:gridCol w:w="324"/>
        <w:gridCol w:w="948"/>
        <w:gridCol w:w="167"/>
        <w:gridCol w:w="109"/>
        <w:gridCol w:w="109"/>
        <w:gridCol w:w="109"/>
        <w:gridCol w:w="380"/>
        <w:gridCol w:w="1112"/>
        <w:gridCol w:w="278"/>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32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6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27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4,551 </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goodwill</w:t>
            </w:r>
          </w:p>
        </w:tc>
        <w:tc>
          <w:tcPr>
            <w:tcW w:w="32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16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27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231F20"/>
          <w:sz w:val="20"/>
        </w:rPr>
      </w:pPr>
      <w:r>
        <w:rPr>
          <w:rFonts w:ascii="Times New Roman;serif" w:hAnsi="Times New Roman;serif"/>
          <w:b w:val="false"/>
          <w:color w:val="231F20"/>
          <w:sz w:val="20"/>
        </w:rPr>
        <w:t xml:space="preserve">The accumulated goodwill impairment for patient services was $26,179 as of March 31, 2026, December 31, 2025 and January 1, 2025. The accumulated goodwill impairment for clinical trials &amp; others was $632 as of March 31, 2026 and December 31, 2025. There was no accumulated goodwill impairment for specialty pharmacy as of March 31, 2026, December 31, 2025 and January 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18. Net Loss Per Share</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sets forth the computation of the Company's basic and diluted net loss per share to common stockholders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2458"/>
        <w:gridCol w:w="2156"/>
        <w:gridCol w:w="2167"/>
        <w:gridCol w:w="297"/>
        <w:gridCol w:w="889"/>
        <w:gridCol w:w="122"/>
        <w:gridCol w:w="122"/>
        <w:gridCol w:w="122"/>
        <w:gridCol w:w="122"/>
        <w:gridCol w:w="239"/>
        <w:gridCol w:w="903"/>
        <w:gridCol w:w="122"/>
        <w:gridCol w:w="109"/>
        <w:gridCol w:w="109"/>
        <w:gridCol w:w="109"/>
        <w:gridCol w:w="159"/>
      </w:tblGrid>
      <w:tr>
        <w:trPr/>
        <w:tc>
          <w:tcPr>
            <w:tcW w:w="2458"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tc>
        <w:tc>
          <w:tcPr>
            <w:tcW w:w="293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781" w:type="dxa"/>
            <w:gridSpan w:val="3"/>
            <w:vMerge w:val="continue"/>
            <w:tcBorders/>
            <w:tcMar>
              <w:top w:w="0" w:type="dxa"/>
              <w:left w:w="0" w:type="dxa"/>
              <w:bottom w:w="0" w:type="dxa"/>
              <w:right w:w="0" w:type="dxa"/>
            </w:tcMar>
            <w:vAlign w:val="center"/>
          </w:tcPr>
          <w:p>
            <w:pPr>
              <w:pStyle w:val="Normal"/>
              <w:bidi w:val="0"/>
              <w:jc w:val="left"/>
              <w:rPr/>
            </w:pPr>
            <w:r>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44"/>
              <w:jc w:val="left"/>
              <w:rPr>
                <w:sz w:val="4"/>
                <w:szCs w:val="4"/>
              </w:rPr>
            </w:pPr>
            <w:r>
              <w:rPr>
                <w:sz w:val="4"/>
                <w:szCs w:val="4"/>
              </w:rPr>
            </w:r>
          </w:p>
        </w:tc>
      </w:tr>
      <w:tr>
        <w:trPr/>
        <w:tc>
          <w:tcPr>
            <w:tcW w:w="6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TOI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(19,585)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44"/>
              <w:jc w:val="left"/>
              <w:rPr>
                <w:sz w:val="4"/>
                <w:szCs w:val="4"/>
              </w:rPr>
            </w:pPr>
            <w:r>
              <w:rPr>
                <w:sz w:val="4"/>
                <w:szCs w:val="4"/>
              </w:rPr>
            </w:r>
          </w:p>
        </w:tc>
      </w:tr>
      <w:tr>
        <w:trPr/>
        <w:tc>
          <w:tcPr>
            <w:tcW w:w="6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TOI available for distribution</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(19,585)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44"/>
              <w:jc w:val="left"/>
              <w:rPr>
                <w:sz w:val="4"/>
                <w:szCs w:val="4"/>
              </w:rPr>
            </w:pPr>
            <w:r>
              <w:rPr>
                <w:sz w:val="4"/>
                <w:szCs w:val="4"/>
              </w:rPr>
            </w:r>
          </w:p>
        </w:tc>
      </w:tr>
      <w:tr>
        <w:trPr/>
        <w:tc>
          <w:tcPr>
            <w:tcW w:w="6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participating securities, basic and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44"/>
              <w:jc w:val="left"/>
              <w:rPr>
                <w:sz w:val="4"/>
                <w:szCs w:val="4"/>
              </w:rPr>
            </w:pPr>
            <w:r>
              <w:rPr>
                <w:sz w:val="4"/>
                <w:szCs w:val="4"/>
              </w:rPr>
            </w:r>
          </w:p>
        </w:tc>
      </w:tr>
      <w:tr>
        <w:trPr/>
        <w:tc>
          <w:tcPr>
            <w:tcW w:w="6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stockholders, basic and diluted</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(2,094)</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(16,075)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101,801,609 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77,098,825 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44"/>
              <w:jc w:val="left"/>
              <w:rPr>
                <w:sz w:val="4"/>
                <w:szCs w:val="4"/>
              </w:rPr>
            </w:pPr>
            <w:r>
              <w:rPr>
                <w:sz w:val="4"/>
                <w:szCs w:val="4"/>
              </w:rPr>
            </w:r>
          </w:p>
        </w:tc>
      </w:tr>
      <w:tr>
        <w:trPr/>
        <w:tc>
          <w:tcPr>
            <w:tcW w:w="6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income per share attributable to common stockholders, basic and diluted</w:t>
            </w:r>
          </w:p>
        </w:tc>
        <w:tc>
          <w:tcPr>
            <w:tcW w:w="29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2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2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potentially dilutive outstanding securities were excluded from the computation of diluted net loss per share because their effect would have been anti-dilutive for the periods presented:</w:t>
      </w:r>
    </w:p>
    <w:tbl>
      <w:tblPr>
        <w:tblW w:w="10205" w:type="dxa"/>
        <w:jc w:val="left"/>
        <w:tblInd w:w="0" w:type="dxa"/>
        <w:tblLayout w:type="fixed"/>
        <w:tblCellMar>
          <w:top w:w="28" w:type="dxa"/>
          <w:left w:w="28" w:type="dxa"/>
          <w:bottom w:w="28" w:type="dxa"/>
          <w:right w:w="28" w:type="dxa"/>
        </w:tblCellMar>
      </w:tblPr>
      <w:tblGrid>
        <w:gridCol w:w="2203"/>
        <w:gridCol w:w="1936"/>
        <w:gridCol w:w="1944"/>
        <w:gridCol w:w="798"/>
        <w:gridCol w:w="306"/>
        <w:gridCol w:w="285"/>
        <w:gridCol w:w="285"/>
        <w:gridCol w:w="285"/>
        <w:gridCol w:w="285"/>
        <w:gridCol w:w="798"/>
        <w:gridCol w:w="306"/>
        <w:gridCol w:w="285"/>
        <w:gridCol w:w="109"/>
        <w:gridCol w:w="109"/>
        <w:gridCol w:w="109"/>
        <w:gridCol w:w="162"/>
      </w:tblGrid>
      <w:tr>
        <w:trPr/>
        <w:tc>
          <w:tcPr>
            <w:tcW w:w="2203"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6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44"/>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10,571,082 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11,494,684 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44"/>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3,929,782 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7,120,353 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44"/>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4,606,951 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4,126,042 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5,749,986 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5,749,986 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Warrants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2,187,283 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2,187,283 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44"/>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Warrants in connection with private placement and exchange agreement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8,216,918 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7,446,562 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Note 19. Segment Information</w:t>
      </w:r>
    </w:p>
    <w:p>
      <w:pPr>
        <w:pStyle w:val="TextBody"/>
        <w:bidi w:val="0"/>
        <w:spacing w:lineRule="auto" w:line="288" w:before="0" w:after="18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operates its business and reports its results through three operating and reportable segments: specialty pharmacy, patient services, and clinical trials &amp; other in accordance with ASC 280. See Note 2 for a summary of the Company’s policy on segment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18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Summarized financial information for the Company’s segments is shown in the following tables:</w:t>
      </w:r>
    </w:p>
    <w:tbl>
      <w:tblPr>
        <w:tblW w:w="9730" w:type="dxa"/>
        <w:jc w:val="left"/>
        <w:tblInd w:w="0" w:type="dxa"/>
        <w:tblLayout w:type="fixed"/>
        <w:tblCellMar>
          <w:top w:w="28" w:type="dxa"/>
          <w:left w:w="28" w:type="dxa"/>
          <w:bottom w:w="28" w:type="dxa"/>
          <w:right w:w="28" w:type="dxa"/>
        </w:tblCellMar>
      </w:tblPr>
      <w:tblGrid>
        <w:gridCol w:w="1885"/>
        <w:gridCol w:w="1656"/>
        <w:gridCol w:w="1664"/>
        <w:gridCol w:w="109"/>
        <w:gridCol w:w="109"/>
        <w:gridCol w:w="192"/>
        <w:gridCol w:w="192"/>
        <w:gridCol w:w="192"/>
        <w:gridCol w:w="192"/>
        <w:gridCol w:w="372"/>
        <w:gridCol w:w="1457"/>
        <w:gridCol w:w="192"/>
        <w:gridCol w:w="109"/>
        <w:gridCol w:w="109"/>
        <w:gridCol w:w="109"/>
        <w:gridCol w:w="211"/>
        <w:gridCol w:w="826"/>
        <w:gridCol w:w="154"/>
      </w:tblGrid>
      <w:tr>
        <w:trPr/>
        <w:tc>
          <w:tcPr>
            <w:tcW w:w="1885"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520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59,087 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87,541 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147,441 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104,406 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Intravenous (IV) drug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29,767 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Clinician salaries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15,338 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supplies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8,278 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patient services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53,383 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47,080 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70,743 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 (C)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segment direct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124,126 </w:t>
            </w:r>
          </w:p>
        </w:tc>
        <w:tc>
          <w:tcPr>
            <w:tcW w:w="19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87,157 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segment 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segment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9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16,795 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21,857 </w:t>
            </w:r>
          </w:p>
        </w:tc>
        <w:tc>
          <w:tcPr>
            <w:tcW w:w="19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15,687 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items not allocated to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28,212 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Non-segment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consolidated 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(6,513)</w:t>
            </w:r>
          </w:p>
        </w:tc>
        <w:tc>
          <w:tcPr>
            <w:tcW w:w="19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(9,911)</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warrant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conversion option 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loss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(19,585)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tbl>
      <w:tblPr>
        <w:tblW w:w="6100" w:type="dxa"/>
        <w:jc w:val="left"/>
        <w:tblInd w:w="0" w:type="dxa"/>
        <w:tblLayout w:type="fixed"/>
        <w:tblCellMar>
          <w:top w:w="28" w:type="dxa"/>
          <w:left w:w="28" w:type="dxa"/>
          <w:bottom w:w="28" w:type="dxa"/>
          <w:right w:w="28" w:type="dxa"/>
        </w:tblCellMar>
      </w:tblPr>
      <w:tblGrid>
        <w:gridCol w:w="928"/>
        <w:gridCol w:w="817"/>
        <w:gridCol w:w="819"/>
        <w:gridCol w:w="265"/>
        <w:gridCol w:w="1038"/>
        <w:gridCol w:w="137"/>
        <w:gridCol w:w="109"/>
        <w:gridCol w:w="109"/>
        <w:gridCol w:w="109"/>
        <w:gridCol w:w="313"/>
        <w:gridCol w:w="1228"/>
        <w:gridCol w:w="228"/>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 </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Capitated accounts receivable</w:t>
            </w:r>
          </w:p>
        </w:tc>
        <w:tc>
          <w:tcPr>
            <w:tcW w:w="2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FFS accounts receivable</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33,639 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35,376 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IV drug inventory</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8,079 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34,364 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27,989 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83,118 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74,657 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Oral drug accounts receivable</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Oral drug inventory</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8,796 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8,402 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w:t>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29,143 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16,684 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Non-segment assets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67,879 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6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168,230 </w:t>
            </w:r>
          </w:p>
        </w:tc>
        <w:tc>
          <w:tcPr>
            <w:tcW w:w="13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164,656 </w:t>
            </w:r>
          </w:p>
        </w:tc>
        <w:tc>
          <w:tcPr>
            <w:tcW w:w="22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val="false"/>
          <w:color w:val="231F20"/>
          <w:sz w:val="20"/>
        </w:rPr>
      </w:pPr>
      <w:r>
        <w:rPr>
          <w:rFonts w:ascii="Times New Roman;serif" w:hAnsi="Times New Roman;serif"/>
          <w:b w:val="false"/>
          <w:color w:val="231F20"/>
          <w:sz w:val="20"/>
        </w:rPr>
        <w:t>The Company’s chief operating decision maker "or CODM" is the Chief Executive Officer. The CODM uses segment operating income to allocate resources (including employees, property, and financial or capital resources) for each segment predominantly in the annual budget and forecasting process. The CODM considers budget-to-actual variances on a monthly basis when making decisions about allocating capital and personnel to the segments. The CODM also uses segment operating income for evaluating drug pricing to assess each segment’s performance by comparing the results and return on assets of each segment with one another and in the compensation of specific employees.</w:t>
      </w:r>
    </w:p>
    <w:p>
      <w:pPr>
        <w:pStyle w:val="TextBody"/>
        <w:bidi w:val="0"/>
        <w:spacing w:lineRule="auto" w:line="288" w:before="200" w:after="200"/>
        <w:jc w:val="left"/>
        <w:rPr>
          <w:rFonts w:ascii="Times New Roman;serif" w:hAnsi="Times New Roman;serif"/>
          <w:b w:val="false"/>
          <w:color w:val="231F20"/>
          <w:sz w:val="20"/>
        </w:rPr>
      </w:pPr>
      <w:r>
        <w:rPr>
          <w:rFonts w:ascii="Times New Roman;serif" w:hAnsi="Times New Roman;serif"/>
          <w:b w:val="false"/>
          <w:color w:val="231F20"/>
          <w:sz w:val="20"/>
        </w:rPr>
        <w:t xml:space="preserve">(A) Direct costs - patient services primarily includes chemotherapy drug costs, clinician salaries and benefits, and medical supplies. Clinicians include oncologists, advanced practice providers such as physician assistants and nurse practitioners, and registered nurses employed by the TOI PCs. These costs are regularly provided to the CODM to evaluate IV drug costs and clinician performance. </w:t>
      </w:r>
    </w:p>
    <w:p>
      <w:pPr>
        <w:pStyle w:val="TextBody"/>
        <w:bidi w:val="0"/>
        <w:spacing w:lineRule="auto" w:line="288" w:before="200" w:after="200"/>
        <w:jc w:val="left"/>
        <w:rPr>
          <w:rFonts w:ascii="Times New Roman;serif" w:hAnsi="Times New Roman;serif"/>
          <w:b w:val="false"/>
          <w:color w:val="231F20"/>
          <w:sz w:val="20"/>
        </w:rPr>
      </w:pPr>
      <w:r>
        <w:rPr>
          <w:rFonts w:ascii="Times New Roman;serif" w:hAnsi="Times New Roman;serif"/>
          <w:b w:val="false"/>
          <w:color w:val="231F20"/>
          <w:sz w:val="20"/>
        </w:rPr>
        <w:t xml:space="preserve">(B) Direct costs - specialty pharmacy primarily includes the cost of oral medications dispensed in the TOI PCs’ clinic locations. The CODM regularly reviews these costs evaluate drug margins, compression, and to evaluate suppliers. </w:t>
      </w:r>
    </w:p>
    <w:p>
      <w:pPr>
        <w:pStyle w:val="TextBody"/>
        <w:bidi w:val="0"/>
        <w:spacing w:lineRule="auto" w:line="288" w:before="200" w:after="200"/>
        <w:jc w:val="left"/>
        <w:rPr>
          <w:rFonts w:ascii="Times New Roman;serif" w:hAnsi="Times New Roman;serif"/>
          <w:b w:val="false"/>
          <w:color w:val="231F20"/>
          <w:sz w:val="20"/>
        </w:rPr>
      </w:pPr>
      <w:r>
        <w:rPr>
          <w:rFonts w:ascii="Times New Roman;serif" w:hAnsi="Times New Roman;serif"/>
          <w:b w:val="false"/>
          <w:color w:val="231F20"/>
          <w:sz w:val="20"/>
        </w:rPr>
        <w:t>(C) Direct costs - clinical trials &amp; other primarily includes costs related to clinical trial contracts and medical supplies.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provides information that management believes is relevant to an assessment and understanding of the consolidated results of operations and financial condition of The Oncology Institute, Inc. ("TOI") along with its consolidating subsidiaries (the "Company"). The discussion should be read together with the unaudited condensed consolidated financial statements and the related notes that are included elsewhere in this Report. The information in this discussion contains forward-looking statements within the meaning of Section 27A of the Securities Act of 1933, as amended (the "Securities Act"), and Section 21E of the Securities Exchange Act of 1934, as amended (the "Exchange Act"). Such statements are based upon current expectations, as well as management's beliefs and assumptions and involve a high degree of risk and uncertainty. Any statements contained herein that are not statements of historical fact may be deemed to be forward-looking statements. Statements that include the words "believes," "anticipates," "plans," "expects." "intends," and similar expressions that convey uncertainty of future events or outcomes are forward-looking statements. Our actual results could differ materially from those discussed or suggested in the forward-looking statements herein. Factors that could cause or contribute to such differences include those described under the heading "Risk Factors" (Item 1A) in our Annual Report on Form 10-K for the year ended December 31, 2025, which was filed on March 12, 2026. In addition, as a result of these and other factors, our past financial performance should not be relied on as an indication of future performance. All forward-looking statements in this document are based on information available to us as of the filing date of this Quarterly Report on Form 10-Q and we assume no obligation to update any forward-looking statements or the reasons why our actual results may differ. All dollar values are expressed in thousands, unless otherwise noted.</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Unless the context dictates otherwise, references in this Report on Form 10-Q to the “Company,” “we,” “us,” “our,” and similar words are references to The Oncology Institute, Inc., a Delaware corporation (“TOI”), and its consolidated subsidiaries and affiliated entities, as appropriate, including its consolidated variable interest entities (“VIEs”).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Company is a leading value-based oncology company that manages community-based oncology practices for the Company and for independent oncology practices that together serve patients across 17 markets and </w:t>
      </w:r>
      <w:r>
        <w:rPr>
          <w:rFonts w:ascii="Times New Roman;serif" w:hAnsi="Times New Roman;serif"/>
          <w:b w:val="false"/>
          <w:color w:val="231F20"/>
          <w:sz w:val="20"/>
        </w:rPr>
        <w:t>five</w:t>
      </w:r>
      <w:r>
        <w:rPr>
          <w:color w:val="000000"/>
        </w:rPr>
        <w:t xml:space="preserve"> </w:t>
      </w:r>
      <w:r>
        <w:rPr>
          <w:rFonts w:ascii="Times New Roman;serif" w:hAnsi="Times New Roman;serif"/>
          <w:b w:val="false"/>
          <w:color w:val="000000"/>
          <w:sz w:val="20"/>
        </w:rPr>
        <w:t>states throughout the United States. As of March 31, 2026, we operate</w:t>
      </w:r>
      <w:r>
        <w:rPr>
          <w:color w:val="231F20"/>
        </w:rPr>
        <w:t xml:space="preserve"> </w:t>
      </w:r>
      <w:r>
        <w:rPr>
          <w:rFonts w:ascii="Times New Roman;serif" w:hAnsi="Times New Roman;serif"/>
          <w:b w:val="false"/>
          <w:color w:val="000000"/>
          <w:sz w:val="20"/>
        </w:rPr>
        <w:t>65</w:t>
      </w:r>
      <w:r>
        <w:rPr>
          <w:color w:val="231F20"/>
        </w:rPr>
        <w:t xml:space="preserve"> </w:t>
      </w:r>
      <w:r>
        <w:rPr>
          <w:rFonts w:ascii="Times New Roman;serif" w:hAnsi="Times New Roman;serif"/>
          <w:b w:val="false"/>
          <w:color w:val="231F20"/>
          <w:sz w:val="20"/>
        </w:rPr>
        <w:t xml:space="preserve">community-based oncology practices, staffed with </w:t>
      </w:r>
      <w:r>
        <w:rPr>
          <w:rFonts w:ascii="Times New Roman;serif" w:hAnsi="Times New Roman;serif"/>
          <w:b w:val="false"/>
          <w:color w:val="000000"/>
          <w:sz w:val="20"/>
        </w:rPr>
        <w:t>116</w:t>
      </w:r>
      <w:r>
        <w:rPr>
          <w:color w:val="231F20"/>
        </w:rPr>
        <w:t xml:space="preserve"> </w:t>
      </w:r>
      <w:r>
        <w:rPr>
          <w:rFonts w:ascii="Times New Roman;serif" w:hAnsi="Times New Roman;serif"/>
          <w:b w:val="false"/>
          <w:color w:val="231F20"/>
          <w:sz w:val="20"/>
        </w:rPr>
        <w:t>oncologists and advanced practice providers employed by our affiliated physician-owned professional corporations, referred to as the "TOI PCs." In addition to our TOI-affiliated providers, we also manage a network of 275 providers in Florida under the Florida Oncology Network brand and 11 network providers in California. Collectively across the provider base, we manage a population of approximately 2.0 million patients under value-based agreements as of March 31, 2026</w:t>
      </w:r>
      <w:r>
        <w:rPr>
          <w:rFonts w:ascii="Times New Roman;serif" w:hAnsi="Times New Roman;serif"/>
          <w:b w:val="false"/>
          <w:color w:val="000000"/>
          <w:sz w:val="20"/>
        </w:rPr>
        <w:t xml:space="preserve">. The Company's mission is to heal and empower cancer patients through compassion, innovation, and state-of-the-art medical care.. </w:t>
      </w:r>
    </w:p>
    <w:p>
      <w:pPr>
        <w:pStyle w:val="TextBody"/>
        <w:bidi w:val="0"/>
        <w:spacing w:lineRule="auto" w:line="288" w:before="0" w:after="200"/>
        <w:ind w:left="0" w:right="0" w:firstLine="360"/>
        <w:jc w:val="both"/>
        <w:rPr/>
      </w:pPr>
      <w:r>
        <w:rPr>
          <w:rFonts w:ascii="Times New Roman;serif" w:hAnsi="Times New Roman;serif"/>
          <w:b w:val="false"/>
          <w:color w:val="231F20"/>
          <w:sz w:val="20"/>
        </w:rPr>
        <w:t>Operationally, the Company’s medical centers provide a complete suite of medical oncology services including: physician services, in-house infusion, in-house specialty pharmacy, clinical trials, radiation therapy, educational seminars, support groups, counseling, and 24/7 patient assistance.</w:t>
      </w:r>
      <w:r>
        <w:rPr>
          <w:color w:val="000000"/>
        </w:rPr>
        <w:t xml:space="preserve"> </w:t>
      </w:r>
      <w:r>
        <w:rPr>
          <w:rFonts w:ascii="Times New Roman;serif" w:hAnsi="Times New Roman;serif"/>
          <w:b w:val="false"/>
          <w:color w:val="000000"/>
          <w:sz w:val="20"/>
        </w:rPr>
        <w:t>Many of our services, such as managing clinical trials and palliative care programs, are traditionally accessed through academic and tertiary care settings, while the TOI PCs bring these services to patients in a community setting. As scientific research progresses and more treatment options become available, cancer care is shifting from acute care episodes to chronic disease management. With this shift, it is increasingly important for high-quality, high-value cancer care to be available in a local community setting to all patients in need.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value-based oncology company, the Company seeks to deliver both better quality care and lower cost of care for payors and patients. The Company works to accomplish this goal by reducing wasteful, inefficient or counterproductive care that drives up costs but does not improve outcomes. The Company believes payors and employers are aligned with the value-based model due to its enhanced access, improved outcomes, and lower costs. Patients under the Company's affiliated providers’ care can benefit from evidence-based and personalized care plans, gain access to sub-specialized care in convenient community locations, and lower out-of-pocket costs. The Company believes its affiliated providers enjoy the stability and predictability of a large multi-state practice, are not incentivized or pressured to overtreat when it may be inconsistent with a patient’s goals of care, and can focus on practicing outstanding evidence-based medicine, rather than business building.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allow our independent network participating providers to access the ability to treat patient populations that are managed under value-based care contracts without the need to incur costs required to build clinical or operational infrastructure typical for risk-bearing entities, or to adopt new operational frameworks which may be disruptive to their existing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Revenue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receives payments from the following sources for services rendered: (i) commercial insurers; (ii) pharmacy benefit managers (“PBMs”), (iii) the federal government under the Medicare program administered by the Centers for Medicare and Medicaid Services (“CMS”); (iv) state governments under Medicaid and other programs; (v) other third-party payors and managed care organizations (e.g., risk bearing organizations and independent practice associations (“IPAs”)); and (vi) individual patients and clients.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Revenue primarily consists of capitation revenue, fee-for-service (“FFS”) revenue, </w:t>
      </w:r>
      <w:r>
        <w:rPr>
          <w:rFonts w:ascii="Times New Roman;serif" w:hAnsi="Times New Roman;serif"/>
          <w:b w:val="false"/>
          <w:color w:val="231F20"/>
          <w:sz w:val="20"/>
        </w:rPr>
        <w:t>specialty pharmacy</w:t>
      </w:r>
      <w:r>
        <w:rPr>
          <w:color w:val="000000"/>
        </w:rPr>
        <w:t xml:space="preserve"> </w:t>
      </w:r>
      <w:r>
        <w:rPr>
          <w:rFonts w:ascii="Times New Roman;serif" w:hAnsi="Times New Roman;serif"/>
          <w:b w:val="false"/>
          <w:color w:val="000000"/>
          <w:sz w:val="20"/>
        </w:rPr>
        <w:t>revenue, and clinical trials revenue. Capitation and FFS revenue comprise the revenues within the Company’s patient services segment and are presented together in the results of operations. The following paragraphs provide a summary of the principal forms of our billing arrangements and how revenue is recognized for each type of revenue.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Capitation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Capitation revenues consist primarily of fees for medical services provided by the TOI PCs to the Company's patients under a capitated arrangement with various managed care organizations. Capitation revenue is paid monthly based on the number of enrollees by the contracted managed care organization (per member per month or “PMPM”). Capitation contracts generally have a legal term of one year or longer. Payments in capitation contracts are variable since they primarily include PMPM fees associated with unspecified membership that fluctuates throughout the term of the contract; however, based on our experience, our total underlying membership generally increases over time as penetration of Medicare Advantage products grows. Certain contracts include terms for a capitation deduction where the cost of out-of-network referrals of members are deducted from the future payment. Revenue is recognized in the month services are rendered on the basis of the transaction price established at that time.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Fee-for-service revenue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FFS revenue represents revenue earned under contracts in which we bill and collect for specific medical services rendered by the TOI PCs’ employed physicians. The terms for FFS contracts are short in duration and only last for the period over which services are rendered (typically, one day). FFS revenue consists of fees for medical services provided to patients. As specialist providers, our FFS revenue is dependent on referrals from other physicians, such as primary care physicians. The Company's affiliated providers build trusted, professional relationships with these physicians and their associated medical groups, which can lead to recurring FFS volume; however, this volume is subject to numerous factors the Company cannot control and can fluctuate over time. The Company also receives FFS revenue for capitated patients that receive medical services which are excluded from the Company's capitation contracts. Under the FFS arrangements, third-party payors and patients are billed for patient care services provided by the TOI PCs. Payments for services provided are generally less than billed charges. The Company records revenue net of an allowance for contractual adjustments, which represents the net revenue expected to be collected from third-party payors (including managed care, commercial, and governmental payors such as Medicare and Medicaid), and patients. These expected collections are based on fees and negotiated payment rates in the case of third-party payors, the specific benefits provided for under each patient’s healthcare plan, mandated payment rates in the case of Medicare and Medicaid programs, and historical cash collections (net of recoveries). The recognition of net revenue (gross charges less contractual allowances) from such services is dependent on certain factors, such as the proper completion of medical charts following a patient visit, the forwarding of such charts to our billing center for medical coding and entering into the Company's billing system, and the verification of each patient’s submission or representation at the time services are rendered as to the payor(s) responsible for payment of such services. Revenue is recorded on the date the services are rendered based on the information known at the time of entering of such information into the Company's billing systems as well as an estimate of the revenue associated with medical services.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Specialty Pharmacy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Oral prescription drugs prescribed by doctors to their patients are sold directly through the TOI PCs’ dispensaries. Revenue for the prescriptions is based on fee schedules set by various PBMs and other third-party payors.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Clinical trials &amp; other revenue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TOI PCs also enter into contracts to perform clinical research trials. The terms for clinical trial contracts last many months as the clinical research is performed. Each contract represents a single, integrated set of research activities that are satisfied over time as the output of results from the trial is captured for the trial sponsor to review. Under the clinical trial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pPr>
      <w:r>
        <w:rPr>
          <w:rFonts w:ascii="Times New Roman;serif" w:hAnsi="Times New Roman;serif"/>
          <w:b w:val="false"/>
          <w:color w:val="000000"/>
          <w:sz w:val="20"/>
        </w:rPr>
        <w:t xml:space="preserve">contracts, the TOI PCs receive a fixed payment for administrative, set-up, and close-down fees; a fixed amount for each patient site visit; and certain expense reimbursements. The Company recognizes revenue for these arrangements on the fees earned to date based on the state of the trial, as established under contract with the customer. </w:t>
      </w:r>
      <w:r>
        <w:rPr>
          <w:rFonts w:ascii="Times New Roman;serif" w:hAnsi="Times New Roman;serif"/>
          <w:b w:val="false"/>
          <w:color w:val="231F20"/>
          <w:sz w:val="20"/>
        </w:rPr>
        <w:t>O</w:t>
      </w:r>
      <w:r>
        <w:rPr>
          <w:rFonts w:ascii="Times New Roman;serif" w:hAnsi="Times New Roman;serif"/>
          <w:b w:val="false"/>
          <w:color w:val="000000"/>
          <w:sz w:val="20"/>
        </w:rPr>
        <w:t xml:space="preserve">n March 31, 2025, the Company entered into a Research Services Agreement ("RSA") with Helios CR, Inc. ("Helios"), effective May 5, 2025, pursuant to which the Clinical Trials segment is operated by Helios in its entirety under a profit sharing arrangement with the Company. As part of the RSA, there is a Transition Services Agreement, in which certain administrative and professional services are provided by Helios for a certain period of time. Additionally, the Company pays a management fee to Helios on a periodic basis for certain shared services.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Operating Expenses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Direct costs - patient services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Direct costs - patient services primarily includes chemotherapy drug costs, clinician salaries and benefits, and medical supplies. Clinicians include oncologists, advanced practice providers such as physician assistants and nurse practitioners, and registered nurses employed by the TOI PCs.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Direct costs - specialty pharmacy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Direct costs - specialty pharmacy primarily includes the cost of oral medications dispensed in the TOI PCs’ clinic locations.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Direct costs - clinical trials &amp; other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Direct costs - clinical trials &amp; other primarily includes costs related to clinical trial contracts and medical supplies.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Network medical expense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Network medical expense is the cost of care delivered by our independent network providers and paid by TOI under our fully delegated contracts. For presentation purposes, we eliminate the portion of network medical expense that is paid to TOI PCs who participate in these fully delegated networks.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 employee-related expenses, including both clinic and field support staff as well as central administrative and corporate staff. These expenses include salaries and related costs and stock-based compensation for our executives and physicians. The Company's selling, general and administrative expenses also includes occupancy costs, technology infrastructure, operations, clinical and quality support, finance, legal, human resources, and business development. General and administrative expenses are expected to increase over time, due to the legal, accounting, insurance, investor relations and other costs that the Company incurs as a public company, as well as other costs associated with continuing to grow the business. While the Company expects its selling, general and administrative expenses to increase in absolute dollars in the foreseeable future. such expenses are on average expected to decrease as a percentage of revenue over the long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Statements of Operations data expressed as a percentage of total revenues for the periods indicated. The Company’s management is not aware of material events or uncertainties that would cause the financial information below to not be indicative of future operating results or results of future financial condition, although past results should not be relied upon as an indication of future performance or future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tbl>
      <w:tblPr>
        <w:tblW w:w="8775" w:type="dxa"/>
        <w:jc w:val="left"/>
        <w:tblInd w:w="0" w:type="dxa"/>
        <w:tblLayout w:type="fixed"/>
        <w:tblCellMar>
          <w:top w:w="28" w:type="dxa"/>
          <w:left w:w="28" w:type="dxa"/>
          <w:bottom w:w="28" w:type="dxa"/>
          <w:right w:w="28" w:type="dxa"/>
        </w:tblCellMar>
      </w:tblPr>
      <w:tblGrid>
        <w:gridCol w:w="1885"/>
        <w:gridCol w:w="1658"/>
        <w:gridCol w:w="1662"/>
        <w:gridCol w:w="352"/>
        <w:gridCol w:w="264"/>
        <w:gridCol w:w="579"/>
        <w:gridCol w:w="233"/>
        <w:gridCol w:w="233"/>
        <w:gridCol w:w="233"/>
        <w:gridCol w:w="352"/>
        <w:gridCol w:w="264"/>
        <w:gridCol w:w="579"/>
        <w:gridCol w:w="109"/>
        <w:gridCol w:w="109"/>
        <w:gridCol w:w="109"/>
        <w:gridCol w:w="154"/>
      </w:tblGrid>
      <w:tr>
        <w:trPr/>
        <w:tc>
          <w:tcPr>
            <w:tcW w:w="1885"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5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5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5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5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patient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5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5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specialty pharmacy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5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5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clinical trials &amp; other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5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5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(income)</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warrant liabilities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conversion option derivative liabilities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5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Total other non-operating expense (income)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 xml:space="preserve">Comparison of the Three Months Ended March 31, 2026 and 2025 </w:t>
      </w:r>
    </w:p>
    <w:p>
      <w:pPr>
        <w:pStyle w:val="TextBody"/>
        <w:bidi w:val="0"/>
        <w:spacing w:lineRule="auto" w:line="288" w:before="200" w:after="240"/>
        <w:jc w:val="both"/>
        <w:rPr>
          <w:rFonts w:ascii="Times New Roman;serif" w:hAnsi="Times New Roman;serif"/>
          <w:b/>
          <w:color w:val="231F20"/>
          <w:sz w:val="20"/>
        </w:rPr>
      </w:pPr>
      <w:r>
        <w:rPr>
          <w:rFonts w:ascii="Times New Roman;serif" w:hAnsi="Times New Roman;serif"/>
          <w:b/>
          <w:color w:val="231F20"/>
          <w:sz w:val="20"/>
        </w:rPr>
        <w:t>Revenue</w:t>
      </w:r>
    </w:p>
    <w:tbl>
      <w:tblPr>
        <w:tblW w:w="7841" w:type="dxa"/>
        <w:jc w:val="left"/>
        <w:tblInd w:w="0" w:type="dxa"/>
        <w:tblLayout w:type="fixed"/>
        <w:tblCellMar>
          <w:top w:w="28" w:type="dxa"/>
          <w:left w:w="28" w:type="dxa"/>
          <w:bottom w:w="28" w:type="dxa"/>
          <w:right w:w="28" w:type="dxa"/>
        </w:tblCellMar>
      </w:tblPr>
      <w:tblGrid>
        <w:gridCol w:w="706"/>
        <w:gridCol w:w="619"/>
        <w:gridCol w:w="624"/>
        <w:gridCol w:w="209"/>
        <w:gridCol w:w="788"/>
        <w:gridCol w:w="116"/>
        <w:gridCol w:w="116"/>
        <w:gridCol w:w="116"/>
        <w:gridCol w:w="116"/>
        <w:gridCol w:w="209"/>
        <w:gridCol w:w="788"/>
        <w:gridCol w:w="116"/>
        <w:gridCol w:w="109"/>
        <w:gridCol w:w="109"/>
        <w:gridCol w:w="109"/>
        <w:gridCol w:w="196"/>
        <w:gridCol w:w="646"/>
        <w:gridCol w:w="109"/>
        <w:gridCol w:w="109"/>
        <w:gridCol w:w="109"/>
        <w:gridCol w:w="109"/>
        <w:gridCol w:w="269"/>
        <w:gridCol w:w="271"/>
        <w:gridCol w:w="256"/>
        <w:gridCol w:w="109"/>
        <w:gridCol w:w="109"/>
        <w:gridCol w:w="109"/>
        <w:gridCol w:w="109"/>
        <w:gridCol w:w="109"/>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Patient services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59,087 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53,068 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Specialty Pharmacy</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87,541 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49,293 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Clinical trials &amp; other</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(60.2)</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operating revenue</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147,441 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104,406 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Patient services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increase in patient services revenue for the three months ended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000000"/>
          <w:sz w:val="20"/>
        </w:rPr>
        <w:t>compared to the same period in the prior year was primarily due to a 54% increase in capitated revenue, partially offset by a 10% decrease in fee-for-service revenue. This was driven by momentum in new markets in addition to the impact of our investments in referral relationship management and our ramp up in new capitated contracts.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Specialty pharmacy</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increase in specialty pharmacy revenue for three months ended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000000"/>
          <w:sz w:val="20"/>
        </w:rPr>
        <w:t xml:space="preserve">as compared to the same quarter prior year was primarily due to a 102.8% increase in the number of fills due to the continued growth in the attachment of prescriptions to our patient visits, offset by a 12.4% decrease in the average revenue per fill. This is driven by increases in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our capitated and fee-for-service lives, and improved performance of our retail and MID pharmacies through higher prescription volumes and greater pharmacy attachment within our network.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Clinical trials &amp; other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clinical trials and other revenue was due to the profit sharing agreement as described in Note 1 of the financial statements, compared to the three months ended March 31, 2025. </w:t>
      </w:r>
    </w:p>
    <w:p>
      <w:pPr>
        <w:pStyle w:val="TextBody"/>
        <w:bidi w:val="0"/>
        <w:spacing w:lineRule="auto" w:line="288" w:before="200" w:after="240"/>
        <w:jc w:val="both"/>
        <w:rPr>
          <w:rFonts w:ascii="Times New Roman;serif" w:hAnsi="Times New Roman;serif"/>
          <w:b/>
          <w:color w:val="000000"/>
          <w:sz w:val="20"/>
        </w:rPr>
      </w:pPr>
      <w:r>
        <w:rPr>
          <w:rFonts w:ascii="Times New Roman;serif" w:hAnsi="Times New Roman;serif"/>
          <w:b/>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1112"/>
        <w:gridCol w:w="881"/>
        <w:gridCol w:w="883"/>
        <w:gridCol w:w="293"/>
        <w:gridCol w:w="293"/>
        <w:gridCol w:w="300"/>
        <w:gridCol w:w="149"/>
        <w:gridCol w:w="149"/>
        <w:gridCol w:w="149"/>
        <w:gridCol w:w="288"/>
        <w:gridCol w:w="1130"/>
        <w:gridCol w:w="149"/>
        <w:gridCol w:w="109"/>
        <w:gridCol w:w="109"/>
        <w:gridCol w:w="109"/>
        <w:gridCol w:w="211"/>
        <w:gridCol w:w="721"/>
        <w:gridCol w:w="109"/>
        <w:gridCol w:w="109"/>
        <w:gridCol w:w="109"/>
        <w:gridCol w:w="109"/>
        <w:gridCol w:w="333"/>
        <w:gridCol w:w="337"/>
        <w:gridCol w:w="271"/>
        <w:gridCol w:w="109"/>
        <w:gridCol w:w="109"/>
        <w:gridCol w:w="109"/>
        <w:gridCol w:w="109"/>
        <w:gridCol w:w="109"/>
        <w:gridCol w:w="109"/>
        <w:gridCol w:w="109"/>
        <w:gridCol w:w="109"/>
        <w:gridCol w:w="109"/>
        <w:gridCol w:w="109"/>
        <w:gridCol w:w="109"/>
        <w:gridCol w:w="109"/>
        <w:gridCol w:w="109"/>
        <w:gridCol w:w="109"/>
        <w:gridCol w:w="109"/>
        <w:gridCol w:w="158"/>
      </w:tblGrid>
      <w:tr>
        <w:trPr/>
        <w:tc>
          <w:tcPr>
            <w:tcW w:w="111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8"/>
            <w:tcBorders/>
          </w:tcPr>
          <w:p>
            <w:pPr>
              <w:pStyle w:val="TableContents"/>
              <w:bidi w:val="0"/>
              <w:spacing w:before="0" w:after="283"/>
              <w:jc w:val="left"/>
              <w:rPr>
                <w:sz w:val="4"/>
                <w:szCs w:val="4"/>
              </w:rPr>
            </w:pPr>
            <w:r>
              <w:rPr>
                <w:sz w:val="4"/>
                <w:szCs w:val="4"/>
              </w:rPr>
            </w:r>
          </w:p>
        </w:tc>
      </w:tr>
      <w:tr>
        <w:trPr/>
        <w:tc>
          <w:tcPr>
            <w:tcW w:w="28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2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patient services</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$53,383</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47,080 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2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specialty pharmacy</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70,743</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39,863 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2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clinical trials &amp; other</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2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28,212</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25,376 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2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2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8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$153,954</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114,317 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Patient services cost </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increase in patient services cost for the three months ended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000000"/>
          <w:sz w:val="20"/>
        </w:rPr>
        <w:t xml:space="preserve">as compared to the same quarter prior year was primarily due to a 10% increase in clinical payroll costs as the Company adjusts physician compensation to better match performance and volume.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Specialty pharmacy cost </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increase in specialty pharmacy cost for the three months ended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000000"/>
          <w:sz w:val="20"/>
        </w:rPr>
        <w:t xml:space="preserve">was primarily due to a 102.8% increase in the number of prescriptions filled offset by a 12.5% decrease in the average cost of the prescriptions filled, as compared to the same quarter prior year.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 </w:t>
      </w:r>
    </w:p>
    <w:p>
      <w:pPr>
        <w:pStyle w:val="TextBody"/>
        <w:bidi w:val="0"/>
        <w:spacing w:lineRule="auto" w:line="276" w:before="0" w:after="0"/>
        <w:ind w:left="0" w:right="0" w:firstLine="360"/>
        <w:jc w:val="left"/>
        <w:rPr/>
      </w:pPr>
      <w:r>
        <w:rPr>
          <w:rFonts w:ascii="Times New Roman;serif" w:hAnsi="Times New Roman;serif"/>
          <w:b w:val="false"/>
          <w:color w:val="000000"/>
          <w:sz w:val="20"/>
        </w:rPr>
        <w:t xml:space="preserve">Selling, general and administrative ("SG&amp;A") expenses for the three months ended </w:t>
      </w:r>
      <w:r>
        <w:rPr>
          <w:rFonts w:ascii="Times New Roman;serif" w:hAnsi="Times New Roman;serif"/>
          <w:b w:val="false"/>
          <w:color w:val="231F20"/>
          <w:sz w:val="20"/>
        </w:rPr>
        <w:t xml:space="preserve">March 31, 2026 increased 11.2% compared to the same quarter prior year primarily due to the increase in our third party platform service we use to manage our specialty pharmacy business. </w:t>
      </w:r>
      <w:r>
        <w:rPr>
          <w:rFonts w:ascii="Times New Roman;serif" w:hAnsi="Times New Roman;serif"/>
          <w:b w:val="false"/>
          <w:color w:val="000000"/>
          <w:sz w:val="20"/>
        </w:rPr>
        <w:t xml:space="preserve">We believe there is further leverage in the model with increased scale, as well as the adoption of AI enablement. We are planning to launch AI pilots around prior-authorization and denial automation, and to launch a next-generation call center during the year. </w:t>
      </w:r>
    </w:p>
    <w:p>
      <w:pPr>
        <w:pStyle w:val="TextBody"/>
        <w:bidi w:val="0"/>
        <w:spacing w:before="0" w:after="0"/>
        <w:ind w:left="0" w:right="0" w:firstLine="360"/>
        <w:jc w:val="both"/>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Other Non-Operating Expense (Income)</w:t>
      </w:r>
    </w:p>
    <w:tbl>
      <w:tblPr>
        <w:tblW w:w="10205" w:type="dxa"/>
        <w:jc w:val="left"/>
        <w:tblInd w:w="0" w:type="dxa"/>
        <w:tblLayout w:type="fixed"/>
        <w:tblCellMar>
          <w:top w:w="28" w:type="dxa"/>
          <w:left w:w="28" w:type="dxa"/>
          <w:bottom w:w="28" w:type="dxa"/>
          <w:right w:w="28" w:type="dxa"/>
        </w:tblCellMar>
      </w:tblPr>
      <w:tblGrid>
        <w:gridCol w:w="1326"/>
        <w:gridCol w:w="1066"/>
        <w:gridCol w:w="1074"/>
        <w:gridCol w:w="225"/>
        <w:gridCol w:w="705"/>
        <w:gridCol w:w="124"/>
        <w:gridCol w:w="124"/>
        <w:gridCol w:w="124"/>
        <w:gridCol w:w="124"/>
        <w:gridCol w:w="225"/>
        <w:gridCol w:w="638"/>
        <w:gridCol w:w="124"/>
        <w:gridCol w:w="109"/>
        <w:gridCol w:w="109"/>
        <w:gridCol w:w="109"/>
        <w:gridCol w:w="196"/>
        <w:gridCol w:w="702"/>
        <w:gridCol w:w="109"/>
        <w:gridCol w:w="109"/>
        <w:gridCol w:w="109"/>
        <w:gridCol w:w="109"/>
        <w:gridCol w:w="304"/>
        <w:gridCol w:w="307"/>
        <w:gridCol w:w="256"/>
        <w:gridCol w:w="109"/>
        <w:gridCol w:w="109"/>
        <w:gridCol w:w="109"/>
        <w:gridCol w:w="109"/>
        <w:gridCol w:w="109"/>
        <w:gridCol w:w="109"/>
        <w:gridCol w:w="109"/>
        <w:gridCol w:w="109"/>
        <w:gridCol w:w="109"/>
        <w:gridCol w:w="109"/>
        <w:gridCol w:w="109"/>
        <w:gridCol w:w="109"/>
        <w:gridCol w:w="109"/>
        <w:gridCol w:w="109"/>
        <w:gridCol w:w="109"/>
        <w:gridCol w:w="163"/>
      </w:tblGrid>
      <w:tr>
        <w:trPr/>
        <w:tc>
          <w:tcPr>
            <w:tcW w:w="13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20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gridSpan w:val="8"/>
            <w:tcBorders/>
          </w:tcPr>
          <w:p>
            <w:pPr>
              <w:pStyle w:val="TableContents"/>
              <w:bidi w:val="0"/>
              <w:spacing w:before="0" w:after="283"/>
              <w:jc w:val="left"/>
              <w:rPr>
                <w:sz w:val="4"/>
                <w:szCs w:val="4"/>
              </w:rPr>
            </w:pPr>
            <w:r>
              <w:rPr>
                <w:sz w:val="4"/>
                <w:szCs w:val="4"/>
              </w:rPr>
            </w:r>
          </w:p>
        </w:tc>
      </w:tr>
      <w:tr>
        <w:trPr/>
        <w:tc>
          <w:tcPr>
            <w:tcW w:w="3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5,570 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44"/>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warrant liabilities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(490.7)</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44"/>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conversion option derivative liabilities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(251.0)</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(205.2)</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other non-operating expense (income)</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(4,021)</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9,674 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(13,695)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(141.6)</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Interest expense, net </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decrease in interest expense for the three months ended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000000"/>
          <w:sz w:val="20"/>
        </w:rPr>
        <w:t xml:space="preserve">compared to the prior year same period was primarily the result of a prepayment and debt conversion related to the Senior Secured Convertible Note in which the Company recognized a loss of extinguishment of debt of $2,900 during the first quarter of 2025. The decrease in the principal balance of the Senior Secured Convertible Note decreased the Company's interest payments for the remainder of 2025 and continuing into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 in fair value of liabilities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decrease in the fair value of liabilities was primarily due to a $4,996 favorable increase in the fair value of conversion option derivative liabilities due to the stock price decreasing for the three months ended </w:t>
      </w:r>
      <w:r>
        <w:rPr>
          <w:rFonts w:ascii="Times New Roman;serif" w:hAnsi="Times New Roman;serif"/>
          <w:b w:val="false"/>
          <w:color w:val="231F20"/>
          <w:sz w:val="20"/>
        </w:rPr>
        <w:t>March 31, 2026 as compared to the same period prior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Key Business Metrics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financial information, the Company's management reviews a number of operating and financial metrics, including the following key metrics, to evaluate our business, measure our performance, identify trends affecting our business, formulate business plans, and make strategic decisions.</w:t>
      </w:r>
    </w:p>
    <w:tbl>
      <w:tblPr>
        <w:tblW w:w="7751" w:type="dxa"/>
        <w:jc w:val="center"/>
        <w:tblInd w:w="0" w:type="dxa"/>
        <w:tblLayout w:type="fixed"/>
        <w:tblCellMar>
          <w:top w:w="28" w:type="dxa"/>
          <w:left w:w="28" w:type="dxa"/>
          <w:bottom w:w="28" w:type="dxa"/>
          <w:right w:w="28" w:type="dxa"/>
        </w:tblCellMar>
      </w:tblPr>
      <w:tblGrid>
        <w:gridCol w:w="1346"/>
        <w:gridCol w:w="1185"/>
        <w:gridCol w:w="1189"/>
        <w:gridCol w:w="250"/>
        <w:gridCol w:w="821"/>
        <w:gridCol w:w="129"/>
        <w:gridCol w:w="129"/>
        <w:gridCol w:w="129"/>
        <w:gridCol w:w="129"/>
        <w:gridCol w:w="250"/>
        <w:gridCol w:w="821"/>
        <w:gridCol w:w="129"/>
        <w:gridCol w:w="109"/>
        <w:gridCol w:w="109"/>
        <w:gridCol w:w="109"/>
        <w:gridCol w:w="109"/>
        <w:gridCol w:w="109"/>
        <w:gridCol w:w="109"/>
        <w:gridCol w:w="109"/>
        <w:gridCol w:w="109"/>
        <w:gridCol w:w="109"/>
        <w:gridCol w:w="109"/>
        <w:gridCol w:w="154"/>
      </w:tblGrid>
      <w:tr>
        <w:trPr/>
        <w:tc>
          <w:tcPr>
            <w:tcW w:w="1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Affiliated and Network Clinics </w:t>
            </w:r>
            <w:r>
              <w:rPr>
                <w:rFonts w:ascii="Times New Roman;serif" w:hAnsi="Times New Roman;serif"/>
                <w:b w:val="false"/>
                <w:color w:val="000000"/>
                <w:sz w:val="13"/>
              </w:rPr>
              <w:t>(1)</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Lives under value-based contracts (millions)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(in thousands) </w:t>
            </w:r>
            <w:r>
              <w:rPr>
                <w:rFonts w:ascii="Times New Roman;serif" w:hAnsi="Times New Roman;serif"/>
                <w:b w:val="false"/>
                <w:color w:val="000000"/>
                <w:sz w:val="13"/>
              </w:rPr>
              <w:t>(2)</w:t>
            </w:r>
          </w:p>
        </w:tc>
        <w:tc>
          <w:tcPr>
            <w:tcW w:w="25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Clinics operated under the TOI PCs, whereby we receive a percentage of revenue under our management services agreements, or MSAs, and are consolidated. Additionally, includes independent oncology practices to which we provide limited management services and have network provider agreements, but do not bear the operating costs.</w:t>
      </w:r>
    </w:p>
    <w:p>
      <w:pPr>
        <w:pStyle w:val="TextBody"/>
        <w:bidi w:val="0"/>
        <w:spacing w:lineRule="auto" w:line="288" w:before="0" w:after="200"/>
        <w:ind w:left="0" w:right="0" w:hanging="27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Adjusted EBITDA is a "non-GAAP" financial measure within the meaning of Item 10 of Regulation S-K promulgated by the SEC. The Company defines Adjusted EBITDA as net income (loss) adjusting for:</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Depreciation and amortization,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Interest expense, net,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Tax payments and penalties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Non-cash addbacks,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Share-based compensation,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Changes in fair value of liabilities,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Unrealized (gains) losses on investments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Practice acquisition-related costs,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Post combination compensation,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Consulting and certain one-time legal fees,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Infrastructure and workforce costs, and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Transaction costs.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includes Adjusted EBITDA because it is an important measure which our management uses to assess the results of operations, to evaluate factors and trends affecting the business, and to plan and forecast future periods.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this measure provides an additional tool to assess operational performance and trends in, and comparing our financial measures with, other similar companies, many of which present similar non-GAAP financial measures to investors. Be aware that the Company’s non-GAAP financial measure may be different from the non-GAAP financial measures used by other companies, including the Company’s competitors. The use of non-GAAP financial measures is not intended to be considered in isolation or as a substitute for, or superior to, financial measures determined in accordance with GAAP. Management encourages investors and others to review the Company's financial information in its entirety, including the financial statements and the related notes thereto, and not to rely on any single financial measure.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 reconciliation of net loss, the most closely comparable GAAP financial measure, to Adjusted EBITDA:</w:t>
      </w:r>
    </w:p>
    <w:tbl>
      <w:tblPr>
        <w:tblW w:w="9099" w:type="dxa"/>
        <w:jc w:val="left"/>
        <w:tblInd w:w="0" w:type="dxa"/>
        <w:tblLayout w:type="fixed"/>
        <w:tblCellMar>
          <w:top w:w="28" w:type="dxa"/>
          <w:left w:w="28" w:type="dxa"/>
          <w:bottom w:w="28" w:type="dxa"/>
          <w:right w:w="28" w:type="dxa"/>
        </w:tblCellMar>
      </w:tblPr>
      <w:tblGrid>
        <w:gridCol w:w="1309"/>
        <w:gridCol w:w="1151"/>
        <w:gridCol w:w="1155"/>
        <w:gridCol w:w="239"/>
        <w:gridCol w:w="785"/>
        <w:gridCol w:w="123"/>
        <w:gridCol w:w="123"/>
        <w:gridCol w:w="123"/>
        <w:gridCol w:w="123"/>
        <w:gridCol w:w="239"/>
        <w:gridCol w:w="905"/>
        <w:gridCol w:w="123"/>
        <w:gridCol w:w="109"/>
        <w:gridCol w:w="109"/>
        <w:gridCol w:w="109"/>
        <w:gridCol w:w="211"/>
        <w:gridCol w:w="721"/>
        <w:gridCol w:w="109"/>
        <w:gridCol w:w="109"/>
        <w:gridCol w:w="109"/>
        <w:gridCol w:w="109"/>
        <w:gridCol w:w="344"/>
        <w:gridCol w:w="346"/>
        <w:gridCol w:w="316"/>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6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(19,585)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and other taxes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 addbacks</w:t>
            </w:r>
            <w:r>
              <w:rPr>
                <w:rFonts w:ascii="Times New Roman;serif" w:hAnsi="Times New Roman;serif"/>
                <w:b w:val="false"/>
                <w:color w:val="000000"/>
                <w:sz w:val="13"/>
              </w:rPr>
              <w:t>(1)</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liabilities</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(254.1)</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Post-combination compensation expense</w:t>
            </w:r>
            <w:r>
              <w:rPr>
                <w:rFonts w:ascii="Times New Roman;serif" w:hAnsi="Times New Roman;serif"/>
                <w:b w:val="false"/>
                <w:color w:val="000000"/>
                <w:sz w:val="13"/>
              </w:rPr>
              <w:t>(2)</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Consulting fees</w:t>
            </w:r>
            <w:r>
              <w:rPr>
                <w:rFonts w:ascii="Times New Roman;serif" w:hAnsi="Times New Roman;serif"/>
                <w:b w:val="false"/>
                <w:color w:val="000000"/>
                <w:sz w:val="13"/>
              </w:rPr>
              <w:t>(3)</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Infrastructure and workforce costs</w:t>
            </w:r>
            <w:r>
              <w:rPr>
                <w:rFonts w:ascii="Times New Roman;serif" w:hAnsi="Times New Roman;serif"/>
                <w:b w:val="false"/>
                <w:color w:val="000000"/>
                <w:sz w:val="13"/>
              </w:rPr>
              <w:t>(4)</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(2,438)</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(5,109)</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hanging="270"/>
        <w:jc w:val="both"/>
        <w:rPr/>
      </w:pPr>
      <w:r>
        <w:rPr>
          <w:rFonts w:ascii="Times New Roman;serif" w:hAnsi="Times New Roman;serif"/>
          <w:b w:val="false"/>
          <w:color w:val="000000"/>
          <w:sz w:val="13"/>
        </w:rPr>
        <w:t>(1)    </w:t>
      </w:r>
      <w:r>
        <w:rPr>
          <w:rFonts w:ascii="Times New Roman;serif" w:hAnsi="Times New Roman;serif"/>
          <w:b w:val="false"/>
          <w:color w:val="000000"/>
          <w:sz w:val="20"/>
        </w:rPr>
        <w:t>During the three months ended March 31, 2026, non-cash addbacks was primarily comprised of non-cash rent expense.</w:t>
      </w:r>
    </w:p>
    <w:p>
      <w:pPr>
        <w:pStyle w:val="TextBody"/>
        <w:bidi w:val="0"/>
        <w:spacing w:lineRule="auto" w:line="288" w:before="0" w:after="200"/>
        <w:ind w:left="0" w:right="0" w:hanging="270"/>
        <w:jc w:val="both"/>
        <w:rPr/>
      </w:pPr>
      <w:r>
        <w:rPr>
          <w:rFonts w:ascii="Times New Roman;serif" w:hAnsi="Times New Roman;serif"/>
          <w:b w:val="false"/>
          <w:color w:val="000000"/>
          <w:sz w:val="13"/>
        </w:rPr>
        <w:t>(2)    </w:t>
      </w:r>
      <w:r>
        <w:rPr>
          <w:rFonts w:ascii="Times New Roman;serif" w:hAnsi="Times New Roman;serif"/>
          <w:b w:val="false"/>
          <w:color w:val="000000"/>
          <w:sz w:val="20"/>
        </w:rPr>
        <w:t>Deferred consideration payments for practice acquisitions that are contingent upon the seller’s future employment at the Company.</w:t>
      </w:r>
    </w:p>
    <w:p>
      <w:pPr>
        <w:pStyle w:val="TextBody"/>
        <w:bidi w:val="0"/>
        <w:spacing w:lineRule="auto" w:line="288" w:before="0" w:after="200"/>
        <w:ind w:left="0" w:right="0" w:hanging="270"/>
        <w:jc w:val="both"/>
        <w:rPr/>
      </w:pPr>
      <w:r>
        <w:rPr>
          <w:rFonts w:ascii="Times New Roman;serif" w:hAnsi="Times New Roman;serif"/>
          <w:b w:val="false"/>
          <w:color w:val="000000"/>
          <w:sz w:val="13"/>
        </w:rPr>
        <w:t>(3)    </w:t>
      </w:r>
      <w:r>
        <w:rPr>
          <w:rFonts w:ascii="Times New Roman;serif" w:hAnsi="Times New Roman;serif"/>
          <w:b w:val="false"/>
          <w:color w:val="000000"/>
          <w:sz w:val="20"/>
        </w:rPr>
        <w:t>Consulting fees were comprised of a subset of the Company’s total consulting fees, and related to certain non-recurring advisory projects during the three months ended March 31, 2026.</w:t>
      </w:r>
    </w:p>
    <w:p>
      <w:pPr>
        <w:pStyle w:val="TextBody"/>
        <w:bidi w:val="0"/>
        <w:spacing w:lineRule="auto" w:line="288" w:before="0" w:after="200"/>
        <w:ind w:left="0" w:right="0" w:hanging="270"/>
        <w:jc w:val="both"/>
        <w:rPr/>
      </w:pPr>
      <w:r>
        <w:rPr>
          <w:rFonts w:ascii="Times New Roman;serif" w:hAnsi="Times New Roman;serif"/>
          <w:b w:val="false"/>
          <w:color w:val="000000"/>
          <w:sz w:val="13"/>
        </w:rPr>
        <w:t>(4)    </w:t>
      </w:r>
      <w:r>
        <w:rPr>
          <w:rFonts w:ascii="Times New Roman;serif" w:hAnsi="Times New Roman;serif"/>
          <w:b w:val="false"/>
          <w:color w:val="000000"/>
          <w:sz w:val="20"/>
        </w:rPr>
        <w:t>Infrastructure and workforce costs were comprised of recruiting expenses to build out corporate infrastructure of $169 and $277, severance expenses resulting from cost rationalization programs of $242 and $140, stop-loss contract timing of approximately $1 and $0, EOM/CMS performance period non-recurring addback of $818 and $0, and non-recurring legal fees related to infrastructure build out and settlements of $321 and $782 during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200"/>
        <w:jc w:val="left"/>
        <w:rPr/>
      </w:pPr>
      <w:r>
        <w:rPr>
          <w:rFonts w:ascii="Times New Roman;serif" w:hAnsi="Times New Roman;serif"/>
          <w:b/>
          <w:i/>
          <w:color w:val="000000"/>
          <w:sz w:val="20"/>
        </w:rPr>
        <w:t>General</w:t>
      </w:r>
      <w:r>
        <w:rPr>
          <w:color w:val="000000"/>
        </w:rPr>
        <w:t xml:space="preserve"> </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ac</w:t>
      </w:r>
      <w:r>
        <w:rPr>
          <w:rFonts w:ascii="Times New Roman;serif" w:hAnsi="Times New Roman;serif"/>
          <w:b w:val="false"/>
          <w:color w:val="231F20"/>
          <w:sz w:val="20"/>
        </w:rPr>
        <w:t xml:space="preserve">companying financial statements have been prepared on a going concern basis of accounting, which contemplates continuity of operations, realization of assets and liabilities and commitments in the normal course of business. In connection with the preparation of the condensed consolidated financial statements for the three months ended March 31, 2026, the Company conducted an evaluation as to whether there were conditions and events, considered in the aggregate, which raised substantial doubt as to its ability to continue as a going concern within one year after the date of the issuance of such financial statements. The Company had cash and cash equivalents of $30,280 and an accumulated deficit of $273,911 at March 31, 2026, and a net loss of $2,492 and net cash used in operations of $2,215 for the three months ended March 31, 2026. </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concluded that it will have sufficient liquidity to fund its operations for at least one year from the date these consolidated financial statements are issued.</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the Company currently expects its sources of capital to be sufficient to meet its near-term liquidity needs, there can be no assurance that such sources will be sufficient to satisfy its liquidity requirements in the future. If the Company cannot generate or obtain needed funds, it might be forced to make substantial reductions in its operating and capital expenses or pursue restructuring plans, which could adversely affect its business operations and ability to execute its current business strategy.</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Cash Flows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Company's consolidated cash flows from operating, investing, and financing activities for the periods indicated.</w:t>
      </w:r>
    </w:p>
    <w:tbl>
      <w:tblPr>
        <w:tblW w:w="10034" w:type="dxa"/>
        <w:jc w:val="left"/>
        <w:tblInd w:w="0" w:type="dxa"/>
        <w:tblLayout w:type="fixed"/>
        <w:tblCellMar>
          <w:top w:w="28" w:type="dxa"/>
          <w:left w:w="28" w:type="dxa"/>
          <w:bottom w:w="28" w:type="dxa"/>
          <w:right w:w="28" w:type="dxa"/>
        </w:tblCellMar>
      </w:tblPr>
      <w:tblGrid>
        <w:gridCol w:w="1738"/>
        <w:gridCol w:w="1528"/>
        <w:gridCol w:w="1533"/>
        <w:gridCol w:w="244"/>
        <w:gridCol w:w="835"/>
        <w:gridCol w:w="126"/>
        <w:gridCol w:w="126"/>
        <w:gridCol w:w="126"/>
        <w:gridCol w:w="126"/>
        <w:gridCol w:w="244"/>
        <w:gridCol w:w="835"/>
        <w:gridCol w:w="126"/>
        <w:gridCol w:w="109"/>
        <w:gridCol w:w="109"/>
        <w:gridCol w:w="109"/>
        <w:gridCol w:w="211"/>
        <w:gridCol w:w="691"/>
        <w:gridCol w:w="109"/>
        <w:gridCol w:w="109"/>
        <w:gridCol w:w="109"/>
        <w:gridCol w:w="109"/>
        <w:gridCol w:w="233"/>
        <w:gridCol w:w="233"/>
        <w:gridCol w:w="316"/>
      </w:tblGrid>
      <w:tr>
        <w:trPr/>
        <w:tc>
          <w:tcPr>
            <w:tcW w:w="173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78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1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r>
          </w:p>
        </w:tc>
      </w:tr>
      <w:tr>
        <w:trPr/>
        <w:tc>
          <w:tcPr>
            <w:tcW w:w="47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r>
      <w:tr>
        <w:trPr/>
        <w:tc>
          <w:tcPr>
            <w:tcW w:w="4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and cash equivalents used in operating activities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(2,215)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and cash equivalents used in investing activities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(1,042)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and cash equivalents used in financing activities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decrease in cash and cash equivalents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(9,930)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33,565 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30,280 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39,739 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changes impacting net cash and cash equivalents used in operating activities for the three months ended March 31, 2026 as compared to the three months ended March 31, 2025 were as follows: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Cash used by inventory decreased $5,146 due to an increase in quarterly drug buy-ins at period end for participation in rebate programs with our primary supplier;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Cash provided by accounts payable and accrued expenses increased by $905 primarily due to cash management initiatives with our vendors.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$840 for the three months ended March 31, 2026 as compared to the three months ended March 31, 2025 primarily due to the increase in purchases of property and equipment of $714 as compared to same period in the prior year.</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$4,712 for the three months ended March 31, 2026 as compared to the three months ended March 31, 2025, primarily due to principal payments on the convertible note of $20,000, offset by proceeds from the private placement offering of $15,359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material cash requirements for the following five years consist of debt servicing requirements, operating leases and other miscellaneous administrative expenses. Additionally, the Company is subject to certain outside claims and litigation arising out of the ordinary course of business, however, no such litigation requires future cash expenditure as of March 31, 2026.</w:t>
      </w:r>
    </w:p>
    <w:tbl>
      <w:tblPr>
        <w:tblW w:w="10205" w:type="dxa"/>
        <w:jc w:val="left"/>
        <w:tblInd w:w="0" w:type="dxa"/>
        <w:tblLayout w:type="fixed"/>
        <w:tblCellMar>
          <w:top w:w="28" w:type="dxa"/>
          <w:left w:w="28" w:type="dxa"/>
          <w:bottom w:w="28" w:type="dxa"/>
          <w:right w:w="28" w:type="dxa"/>
        </w:tblCellMar>
      </w:tblPr>
      <w:tblGrid>
        <w:gridCol w:w="1248"/>
        <w:gridCol w:w="1020"/>
        <w:gridCol w:w="1023"/>
        <w:gridCol w:w="109"/>
        <w:gridCol w:w="109"/>
        <w:gridCol w:w="109"/>
        <w:gridCol w:w="211"/>
        <w:gridCol w:w="616"/>
        <w:gridCol w:w="109"/>
        <w:gridCol w:w="109"/>
        <w:gridCol w:w="109"/>
        <w:gridCol w:w="109"/>
        <w:gridCol w:w="211"/>
        <w:gridCol w:w="826"/>
        <w:gridCol w:w="109"/>
        <w:gridCol w:w="109"/>
        <w:gridCol w:w="109"/>
        <w:gridCol w:w="109"/>
        <w:gridCol w:w="221"/>
        <w:gridCol w:w="647"/>
        <w:gridCol w:w="114"/>
        <w:gridCol w:w="109"/>
        <w:gridCol w:w="109"/>
        <w:gridCol w:w="109"/>
        <w:gridCol w:w="230"/>
        <w:gridCol w:w="671"/>
        <w:gridCol w:w="120"/>
        <w:gridCol w:w="109"/>
        <w:gridCol w:w="109"/>
        <w:gridCol w:w="109"/>
        <w:gridCol w:w="211"/>
        <w:gridCol w:w="826"/>
        <w:gridCol w:w="157"/>
      </w:tblGrid>
      <w:tr>
        <w:trPr/>
        <w:tc>
          <w:tcPr>
            <w:tcW w:w="124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7"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Material Cash Requirements Due by the Year Ended December 31,</w:t>
            </w:r>
          </w:p>
        </w:tc>
      </w:tr>
      <w:tr>
        <w:trPr/>
        <w:tc>
          <w:tcPr>
            <w:tcW w:w="3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2027-2028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2029-2030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Convertible note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91,463 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and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material cash requirements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122,486 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principal and interest payments due.</w:t>
      </w:r>
    </w:p>
    <w:p>
      <w:pPr>
        <w:pStyle w:val="TextBody"/>
        <w:bidi w:val="0"/>
        <w:spacing w:lineRule="auto" w:line="288" w:before="0" w:after="0"/>
        <w:ind w:left="0" w:right="0" w:hanging="270"/>
        <w:jc w:val="both"/>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 xml:space="preserve">Other is comprised of finance leases and D&amp;O insurance premiums.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6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financial condition and results of operations is based on our financial statements, which have been prepared in accordance with generally accepted accounting principles in the United States,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pStyle w:val="TextBody"/>
        <w:bidi w:val="0"/>
        <w:spacing w:lineRule="auto" w:line="26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significant accounting policies are more fully described in the notes to our unaudited condensed consolidated financial statements elsewhere in this Quarterly Report on Form 10-Q. We believe that the following accounting policies reflects the most critical judgments and estimation uncertainty used in the preparation of our Condensed Consolidated Financial Results.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Variable Interest Entities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consolidates entities for which it has a variable interest and is determined to be the primary beneficiary. The Company holds variable interests in the TOI PCs, comprised of TOI CA, TOI FL, TOI OR and TOI TX due to jurisdictional laws governing the corporate practice of medicine or other restrictions. The TOI PCs employ physicians and other clinicians in order to provide professional services to patients of our managed clinics, and under substantially similar MSAs, we serve as the exclusive manager and administrator of the TOI PCs’ non-medical functions and services. The TOI PCs are considered variable interest entities (“VIEs”) as they do not have sufficient equity to finance their activities without additional financial support from the Company. An enterprise having a controlling financial interest in a VIE must consolidate the VIE if it has both power and benefits — that is, it has (1) the power to direct the activities of a VIE that most significantly impacts the VIE’s economic performance (power), and (2) the obligation to absorb the losses of the VIE that potentially could be significant to the VIE or the right to receive benefits from the VIE that potentially could be significant to the VIE (benefits). The Company has the power to control all financial activities of the TOI PCs, the rights to receive substantially all benefits from the VIEs, and consequently consolidates the TOI PCs. Revenues, expenses, and income along with the balance sheet accounts from the TOI PCs are included in the consolidated amounts as presented on the Condensed Consolidated Statements of Operations and Condensed Consolidated Balance Sheets.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Segment Reporting </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Company presents the condensed consolidated financial statements by segment in accordance with the relevant accounting literature to provide investors with transparency into how the chief operating decision maker “or CODM” manages the business. The Company's CODM is our Chief Executive Officer. The CODM reviews financial information and allocates resources across three operating segments: </w:t>
      </w:r>
      <w:r>
        <w:rPr>
          <w:rFonts w:ascii="Times New Roman;serif" w:hAnsi="Times New Roman;serif"/>
          <w:b w:val="false"/>
          <w:color w:val="231F20"/>
          <w:sz w:val="20"/>
        </w:rPr>
        <w:t xml:space="preserve">specialty pharmacy, </w:t>
      </w:r>
      <w:r>
        <w:rPr>
          <w:rFonts w:ascii="Times New Roman;serif" w:hAnsi="Times New Roman;serif"/>
          <w:b w:val="false"/>
          <w:color w:val="000000"/>
          <w:sz w:val="20"/>
        </w:rPr>
        <w:t>patient care, and clinical trials and other.</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consolidated revenue based upon the principle of the transfer of control of our goods and services to customers in an amount that reflects the consideration to which it expects to be entitled. This principle is achieved through applying the following five-step approach:</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1.Identification of the contract, or contracts, with a customer.</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2.Identification of the performance obligations in the contract.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3.Determination of the transaction price.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4.Allocation of the transaction price to the performance obligations in the contract.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5.Recognition of revenue when, or as, the entity satisfies a performance obligation.</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Consolidated revenue primarily consists of capitation revenue, fee-for-service (FFS) revenue, </w:t>
      </w:r>
      <w:r>
        <w:rPr>
          <w:rFonts w:ascii="Times New Roman;serif" w:hAnsi="Times New Roman;serif"/>
          <w:b w:val="false"/>
          <w:color w:val="231F20"/>
          <w:sz w:val="20"/>
        </w:rPr>
        <w:t>specialty pharmacy</w:t>
      </w:r>
      <w:r>
        <w:rPr>
          <w:color w:val="000000"/>
        </w:rPr>
        <w:t xml:space="preserve"> </w:t>
      </w:r>
      <w:r>
        <w:rPr>
          <w:rFonts w:ascii="Times New Roman;serif" w:hAnsi="Times New Roman;serif"/>
          <w:b w:val="false"/>
          <w:color w:val="000000"/>
          <w:sz w:val="20"/>
        </w:rPr>
        <w:t>revenue, and clinical trials revenue. Revenue is recognized in the period in which services are rendered or the period in which the TOI PCs are obligated to provide services. The form of billing and related risk of collection for such services may vary by type of revenue and the payor. The following paragraphs provide a summary of the principal forms of billing arrangements and how revenue is recognized for each.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firstLine="360"/>
        <w:jc w:val="both"/>
        <w:rPr/>
      </w:pPr>
      <w:r>
        <w:rPr>
          <w:rFonts w:ascii="Times New Roman;serif" w:hAnsi="Times New Roman;serif"/>
          <w:b w:val="false"/>
          <w:i/>
          <w:color w:val="000000"/>
          <w:sz w:val="20"/>
        </w:rPr>
        <w:t>Capitation</w:t>
      </w:r>
      <w:r>
        <w:rPr>
          <w:color w:val="000000"/>
        </w:rPr>
        <w:t xml:space="preserv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Capitation contracts have a single performance obligation that is a stand ready obligation to perform specified healthcare services to the population of enrolled members and constitutes a series for the provision of managed healthcare services for the term of the contract, which is deemed to be one month since the mix of patient-customers can and do change month over month. The transaction price for capitation contracts is variable as it primarily includes PMPM fees associated with unspecified membership that fluctuates throughout the term of the contract. Further, we adjust the transaction price for capitation deductions based on historical experience. Revenue is recognized in the month services are rendered on the basis of the transaction price established at that time. If subsequent information resolves uncertainties related to the transaction price, adjustments will be recognized in the period they are resolved. When payment has been received but services have not yet been rendered, the payment is recognized as a contract liability.</w:t>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Fee For Service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FFS revenue consists of fees for medical services actually provided to patients. These medical services are distinct since the patient can benefit from the medical services on their own. Each service constitutes a single performance obligation for which the patient accepts and receives the benefit of the medical services as they are performed.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transaction price from FFS arrangements is variable in nature because fees are based on patient encounters, credits due to patients, and reimbursement of provider costs, all of which can vary from period to period. The Company estimates the transaction price using the most likely methodology and amounts are only included in the net transaction price to the extent that it is probable that a significant reversal of cumulative revenue will not occur once any uncertainty is resolved. As a practical expedient, the Company adopted a portfolio approach to determine the transaction price for the medical services provided under FFS arrangements. Under this approach, the Company bifurcated the types of services provided and grouped health plans with similar fees and negotiated payment rates.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these levels, portfolios share the characteristics conducive to ensuring that the results do not materially differ from the standard applied to individual patient contracts related to each medical service provided.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recorded on the date the services are rendered based on the information known at the time of entering of such information into our billing systems as well as an estimate of the revenue associated with medical services. When the performance obligation is not satisfied, the billing is recognized as a contract liability.</w:t>
      </w:r>
    </w:p>
    <w:p>
      <w:pPr>
        <w:pStyle w:val="TextBody"/>
        <w:bidi w:val="0"/>
        <w:spacing w:lineRule="auto" w:line="288" w:before="0" w:after="200"/>
        <w:ind w:left="0" w:right="0" w:firstLine="360"/>
        <w:jc w:val="both"/>
        <w:rPr/>
      </w:pPr>
      <w:r>
        <w:rPr>
          <w:rFonts w:ascii="Times New Roman;serif" w:hAnsi="Times New Roman;serif"/>
          <w:b w:val="false"/>
          <w:i/>
          <w:color w:val="231F20"/>
          <w:sz w:val="20"/>
        </w:rPr>
        <w:t>Specialty Pharmacy</w:t>
      </w:r>
      <w:r>
        <w:rPr>
          <w:color w:val="000000"/>
        </w:rPr>
        <w:t xml:space="preserve"> </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Dispensed prescriptions that are filled and delivered to the patient are considered a distinct performance obligation. The transaction price for the prescriptions is based on fee schedules set by PBMs and other third-party payors. The fee schedule is often subject to direct and indirect remuneration fees applied by PBMs ("DIR fees"), which are based primarily on pre-established metrics. DIR fees may be assessed in periods after payments are received against future payments. The Company estimates DIR fees to arrive at the transaction price for prescriptions. Revenue is recognized based on the transaction at the time the patient takes possession of the oral drug.</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Clinical Research &amp; Other </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Clinical research contracts represent a single, integrated set of research activities and thus are a single performance obligation. The performance obligation is satisfied over time as the output is captured in data and documentation that is available for the customer to consume over the course of arrangement and furthers progress of the clinical trial. The Company has elected to recognize revenue for clinical trials using the ‘as-invoiced’ practical expedient. The customer is invoiced periodically based on the progress of the trial such that each invoice captures the revenue earned to date based on the state of the trial as established under contract with the customer. Effective May 2025, the Clinical Trials segment is operated by a third party in its entirety under a profit sharing arrangement with the Company.</w:t>
      </w:r>
    </w:p>
    <w:p>
      <w:pPr>
        <w:pStyle w:val="TextBody"/>
        <w:bidi w:val="0"/>
        <w:spacing w:before="0" w:after="0"/>
        <w:ind w:left="0" w:right="0" w:firstLine="360"/>
        <w:jc w:val="both"/>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asset and liability method of accounting for income taxes. Deferred tax assets and liabilities are determined based on temporary differences between the financial carrying amounts and the tax basis of assets and liabilities using enacted tax rates in effect in the years in which the temporary differences are expected to reverse.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valuation allowance is required when there is significant uncertainty as to whether certain deferred tax assets can be realized. The ability to realize deferred tax assets is dependent upon our ability to generate sufficient taxable income within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carryforward periods provided for in the tax law for each tax jurisdiction. We have considered the following possible sources of taxable income when assessing the realization of our deferred tax assets:</w:t>
      </w:r>
    </w:p>
    <w:p>
      <w:pPr>
        <w:pStyle w:val="TextBody"/>
        <w:bidi w:val="0"/>
        <w:spacing w:before="0" w:after="0"/>
        <w:jc w:val="both"/>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future reversals of existing taxable temporary differences;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future taxable income or loss, exclusive of reversing temporary differences and carryforwards;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tax-planning strategies; and</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taxable income in prior carryback years.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will continue to reevaluate the continued need for a valuation allowance. Relevant factors include:</w:t>
      </w:r>
    </w:p>
    <w:p>
      <w:pPr>
        <w:pStyle w:val="TextBody"/>
        <w:bidi w:val="0"/>
        <w:spacing w:before="0" w:after="0"/>
        <w:jc w:val="both"/>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current financial performance;</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our ability to meet short-term and long-term financial and taxable income projections;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overall market environment; and</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volatility and trends in the industry in which we operate.</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Goodwill and Intangible Assets </w:t>
      </w:r>
    </w:p>
    <w:p>
      <w:pPr>
        <w:pStyle w:val="TextBody"/>
        <w:bidi w:val="0"/>
        <w:spacing w:lineRule="auto" w:line="288" w:before="0" w:after="180"/>
        <w:ind w:left="0" w:right="0" w:firstLine="360"/>
        <w:jc w:val="both"/>
        <w:rPr/>
      </w:pPr>
      <w:r>
        <w:rPr>
          <w:rFonts w:ascii="Times New Roman;serif" w:hAnsi="Times New Roman;serif"/>
          <w:b w:val="false"/>
          <w:color w:val="231F20"/>
          <w:sz w:val="20"/>
        </w:rPr>
        <w:t xml:space="preserve">The Company accounts for goodwill and intangible assets under Accounting Standards Codification Topic No. 350, </w:t>
      </w:r>
      <w:r>
        <w:rPr>
          <w:rFonts w:ascii="Times New Roman;serif" w:hAnsi="Times New Roman;serif"/>
          <w:b w:val="false"/>
          <w:i/>
          <w:color w:val="231F20"/>
          <w:sz w:val="20"/>
        </w:rPr>
        <w:t xml:space="preserve">Goodwill and Other </w:t>
      </w:r>
      <w:r>
        <w:rPr>
          <w:rFonts w:ascii="Times New Roman;serif" w:hAnsi="Times New Roman;serif"/>
          <w:b w:val="false"/>
          <w:color w:val="231F20"/>
          <w:sz w:val="20"/>
        </w:rPr>
        <w:t xml:space="preserve">(“ASC 350”). </w:t>
      </w:r>
      <w:r>
        <w:rPr>
          <w:rFonts w:ascii="Times New Roman;serif" w:hAnsi="Times New Roman;serif"/>
          <w:b w:val="false"/>
          <w:color w:val="000000"/>
          <w:sz w:val="20"/>
        </w:rPr>
        <w:t>Goodwill represents the excess of the fair value of the consideration conveyed in acquisition over the fair value of net assets acquired.</w:t>
      </w:r>
      <w:r>
        <w:rPr>
          <w:color w:val="231F20"/>
        </w:rPr>
        <w:t xml:space="preserv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not amortized but is required to be evaluated for impairment at the same time every year. The Company performs annual testing of impairment for goodwill in the fourth quarter of each year or earlier if potential impairment indicators exist. When impairment indicators are identified, the Company compares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ASC 350, finite-lived intangible assets are stated at acquisition-date fair value. Intangible assets are amortized using the straight-line method.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Finite-lived intangible assets are stated at acquisition-date fair value. Intangible assets are amortized using the straight-line method. Finite-lived intangible assets are reviewed for impairment whenever events or changes in circumstances indicate that the carrying amount of an asset may not be recoverable. When circumstances indicate that recoverability may be impaired, the Company assesses its ability to recover the carrying value of the asset group from the expected future pre-tax cash flows (undiscounted and without interest charges) of the related operations. If these cash flows are less than the carrying value of such asset, an impairment loss is recognized for the difference between estimated fair value and carrying value. Fair value is determined based on appropriate valuation techniques.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held cash and cash equivalents of $30,280 as of March 31, 2026, consisting of bank deposits and money market funds. Such interest-earning instruments carry a degree of interest rate risk. The goals of our investment policy are liquidity and capital preservation. We believe that we do not have any material exposure to changes in the fair value of these assets as a result of changes in interest rates due to the short-term nature of our cash.</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Recently, inflation has increased throughout the U.S. economy. Inflation can adversely affect us by increasing the costs of drugs, clinical trials and research, administration and other costs of doing business. We may experience increases in the prices of labor and other costs of doing business. In an inflationary environment, cost increases may outpace our expectations, causing us to use our cash and other liquid assets faster than forecasted. If this happens, we may need to raise additional capital to fund our operations, which may not be available in sufficient amounts or on reasonable terms, if at all, sooner than expected.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Impairment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Impairment risk refers to the risk that the Company will write down a material amount of its goodwill or intangible assets. This risk is assessed at least annually in the fourth quarter each year when the Company performs its impairment testing. To the extent that, among other factors, (i) there is underperformance in one or more reporting units (ii) a potential recession further disrupts the economic environment or (iii) interest rates continue to rise in response to persistent inflation, the fair value of one or more of the reporting units could fall below their carrying value, resulting in a goodwill or intangible impairment charge.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Controls and Procedures </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Evaluation of Disclosure Controls and Procedures</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Our disclosure controls and procedures are designed to ensure that the information relating to our Company, including our consolidated subsidiaries, that are required to be disclosed in our SEC reports, is recorded, processed, summarized, and reported within the time periods specified in SEC rules and forms, and is accumulated and communicated to our management, including our Chief Executive Officer and Chief Financial Officer, as appropriate to allow for timely decisions regarding required disclosure. We conducted an evaluation, under the supervision and with the participation of management, including our Chief Executive Officer and Chief Financial Officer, of the effectiveness of the design and operation of our disclosure controls and procedures (as defined in Rules 13a-15(e) and 15d-15(e) under </w:t>
      </w:r>
      <w:r>
        <w:rPr>
          <w:rFonts w:ascii="Times New Roman;serif" w:hAnsi="Times New Roman;serif"/>
          <w:b w:val="false"/>
          <w:color w:val="000000"/>
          <w:sz w:val="20"/>
        </w:rPr>
        <w:t>the</w:t>
      </w:r>
      <w:r>
        <w:rPr>
          <w:color w:val="231F20"/>
        </w:rPr>
        <w:t xml:space="preserve"> </w:t>
      </w:r>
      <w:r>
        <w:rPr>
          <w:rFonts w:ascii="Times New Roman;serif" w:hAnsi="Times New Roman;serif"/>
          <w:b w:val="false"/>
          <w:color w:val="231F20"/>
          <w:sz w:val="20"/>
        </w:rPr>
        <w:t xml:space="preserve">Securities Exchange Act of 1934, as amended) as of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Based on this evaluation, our Chief Executive Officer and Chief Financial Officer concluded that, as of </w:t>
      </w:r>
      <w:r>
        <w:rPr>
          <w:rFonts w:ascii="Times New Roman;serif" w:hAnsi="Times New Roman;serif"/>
          <w:b w:val="false"/>
          <w:color w:val="000000"/>
          <w:sz w:val="20"/>
        </w:rPr>
        <w:t>March 31, 2026</w:t>
      </w:r>
      <w:r>
        <w:rPr>
          <w:rFonts w:ascii="Times New Roman;serif" w:hAnsi="Times New Roman;serif"/>
          <w:b w:val="false"/>
          <w:color w:val="231F20"/>
          <w:sz w:val="20"/>
        </w:rPr>
        <w:t>, our disclosure controls and procedures were effective in our internal control over financial reporting. Management, including our Chief Executive Officer and Chief Financial Officer, who serve as our principal executive officer and principal financial officer, respectively, believe the condensed consolidated financial statements included in this Quarterly Report on Form 10-Q fairly represent, in all material respects, our financial condition, results of operations and cash flows as of and for the periods presented in accordance with GAAP.</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the Company’s internal control over financial reporting that occurred during the three months ended March 31, 2026 that have materially affected, or are reasonably likely to materially affect, the Company’s internal control over financial reporting.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Limitations on Effectiveness of Disclosure Controls and Procedures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including the Chief Executive Officer and Chief Financial Officer, recognizes that any controls and procedures, no matter how well designed and operated, can provide only reasonable assurance of achieving the desired control objectives.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From time to time, we may be involved in various legal proceedings and subject to claims that arise in the ordinary course of business. Although the results of litigation and claims are inherently unpredictable and uncertain, we are not currently a party to any legal proceedings the outcome of which, if determined adversely to us, are believed to, either individually or taken together, have a material adverse effect on our business, operating results, cash flows or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1A. Risk Factors </w:t>
      </w:r>
    </w:p>
    <w:p>
      <w:pPr>
        <w:pStyle w:val="TextBody"/>
        <w:bidi w:val="0"/>
        <w:spacing w:lineRule="auto" w:line="288" w:before="0" w:after="200"/>
        <w:ind w:left="0" w:right="0" w:firstLine="399"/>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described in Item 1A of our Annual Report on Form 10-K for the fiscal year ended December 31, 2025. These risk factors describe some of the assumptions, risks, uncertainties and other factors that could adversely affect our business or that could otherwise result in changes that differ materially from our expectations. We may disclose changes to such risk factors or disclose additional risk factors from time to time in our future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 </w:t>
      </w:r>
    </w:p>
    <w:p>
      <w:pPr>
        <w:pStyle w:val="TextBody"/>
        <w:bidi w:val="0"/>
        <w:spacing w:lineRule="auto" w:line="288" w:before="0" w:after="200"/>
        <w:ind w:left="0" w:right="0" w:firstLine="399"/>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0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200"/>
        <w:ind w:left="0" w:right="0" w:firstLine="399"/>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4. Mine Safety Disclosures </w:t>
      </w:r>
    </w:p>
    <w:p>
      <w:pPr>
        <w:pStyle w:val="TextBody"/>
        <w:bidi w:val="0"/>
        <w:spacing w:lineRule="auto" w:line="288" w:before="0" w:after="200"/>
        <w:ind w:left="0" w:right="0" w:firstLine="399"/>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 Other Information </w:t>
      </w:r>
    </w:p>
    <w:p>
      <w:pPr>
        <w:pStyle w:val="TextBody"/>
        <w:bidi w:val="0"/>
        <w:spacing w:lineRule="auto" w:line="288" w:before="0" w:after="200"/>
        <w:ind w:left="0" w:right="0" w:firstLine="399"/>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Mohit Kaushal, a director of the Company, adopted a Rule 10b5-1 trading plan as of December 16, 2025 providing for the sale of up to an aggregate amount of 105,719 shares of common stock during the period until October 1, 2026. This trading plan was entered into during an open insider trading window and was intended to satisfy the affirmative defense of Rule 10b5-1(c) under the Securities Exchange Act of 1934 and our policies regarding transactions in our securities.</w:t>
      </w:r>
    </w:p>
    <w:p>
      <w:pPr>
        <w:pStyle w:val="TextBody"/>
        <w:bidi w:val="0"/>
        <w:spacing w:lineRule="auto" w:line="268" w:before="0" w:after="0"/>
        <w:ind w:left="0" w:right="0" w:firstLine="399"/>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 trading arrangement or a non-Rule 10b-5 trading arrangement during the three months ended March 31, 2026, as such terms are defined under Item 408(a) of Regulation S-K.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9"/>
        <w:gridCol w:w="271"/>
        <w:gridCol w:w="272"/>
        <w:gridCol w:w="109"/>
        <w:gridCol w:w="109"/>
        <w:gridCol w:w="109"/>
        <w:gridCol w:w="109"/>
        <w:gridCol w:w="109"/>
        <w:gridCol w:w="829"/>
        <w:gridCol w:w="660"/>
        <w:gridCol w:w="667"/>
        <w:gridCol w:w="109"/>
        <w:gridCol w:w="109"/>
        <w:gridCol w:w="109"/>
        <w:gridCol w:w="195"/>
        <w:gridCol w:w="195"/>
        <w:gridCol w:w="196"/>
        <w:gridCol w:w="109"/>
        <w:gridCol w:w="109"/>
        <w:gridCol w:w="109"/>
        <w:gridCol w:w="272"/>
        <w:gridCol w:w="272"/>
        <w:gridCol w:w="273"/>
        <w:gridCol w:w="109"/>
        <w:gridCol w:w="109"/>
        <w:gridCol w:w="109"/>
        <w:gridCol w:w="109"/>
        <w:gridCol w:w="245"/>
        <w:gridCol w:w="245"/>
        <w:gridCol w:w="246"/>
        <w:gridCol w:w="109"/>
        <w:gridCol w:w="109"/>
        <w:gridCol w:w="109"/>
        <w:gridCol w:w="109"/>
        <w:gridCol w:w="508"/>
        <w:gridCol w:w="256"/>
        <w:gridCol w:w="228"/>
        <w:gridCol w:w="109"/>
        <w:gridCol w:w="1057"/>
        <w:gridCol w:w="109"/>
        <w:gridCol w:w="109"/>
        <w:gridCol w:w="109"/>
        <w:gridCol w:w="109"/>
        <w:gridCol w:w="109"/>
        <w:gridCol w:w="109"/>
        <w:gridCol w:w="175"/>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19"/>
            <w:tcBorders/>
            <w:tcMar>
              <w:top w:w="0" w:type="dxa"/>
              <w:left w:w="0" w:type="dxa"/>
              <w:bottom w:w="0" w:type="dxa"/>
              <w:right w:w="0" w:type="dxa"/>
            </w:tcMar>
            <w:vAlign w:val="center"/>
          </w:tcPr>
          <w:p>
            <w:pPr>
              <w:pStyle w:val="TableContents"/>
              <w:bidi w:val="0"/>
              <w:spacing w:lineRule="auto" w:line="16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tcBorders/>
            <w:tcMar>
              <w:top w:w="0" w:type="dxa"/>
              <w:left w:w="0" w:type="dxa"/>
              <w:bottom w:w="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Filed or Furnished Herewith</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 w:type="dxa"/>
            <w:gridSpan w:val="4"/>
            <w:tcBorders/>
          </w:tcPr>
          <w:p>
            <w:pPr>
              <w:pStyle w:val="TableContents"/>
              <w:bidi w:val="0"/>
              <w:spacing w:before="0" w:after="283"/>
              <w:jc w:val="left"/>
              <w:rPr>
                <w:sz w:val="4"/>
                <w:szCs w:val="4"/>
              </w:rPr>
            </w:pPr>
            <w:r>
              <w:rPr>
                <w:sz w:val="4"/>
                <w:szCs w:val="4"/>
              </w:rPr>
            </w:r>
          </w:p>
        </w:tc>
      </w:tr>
      <w:tr>
        <w:trPr/>
        <w:tc>
          <w:tcPr>
            <w:tcW w:w="852" w:type="dxa"/>
            <w:gridSpan w:val="3"/>
            <w:tcBorders>
              <w:top w:val="single" w:sz="8" w:space="0" w:color="FFFFFF"/>
              <w:bottom w:val="single" w:sz="8" w:space="0" w:color="000000"/>
            </w:tcBorders>
            <w:tcMar>
              <w:top w:w="30" w:type="dxa"/>
              <w:left w:w="0" w:type="dxa"/>
              <w:bottom w:w="3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FFFFFF"/>
              <w:bottom w:val="single" w:sz="8" w:space="0" w:color="000000"/>
            </w:tcBorders>
            <w:tcMar>
              <w:top w:w="30" w:type="dxa"/>
              <w:left w:w="0" w:type="dxa"/>
              <w:bottom w:w="3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tcPr>
          <w:p>
            <w:pPr>
              <w:pStyle w:val="TableContents"/>
              <w:bidi w:val="0"/>
              <w:spacing w:before="0" w:after="283"/>
              <w:jc w:val="left"/>
              <w:rPr>
                <w:sz w:val="4"/>
                <w:szCs w:val="4"/>
              </w:rPr>
            </w:pPr>
            <w:r>
              <w:rPr>
                <w:sz w:val="4"/>
                <w:szCs w:val="4"/>
              </w:rPr>
            </w:r>
          </w:p>
        </w:tc>
      </w:tr>
      <w:tr>
        <w:trPr/>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"https://www.sec.gov/Archives/edgar/data/1799191/000110465921127792/tm2122352-12_s4a.htm" \l "tANNA"</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Agreement and Plan of Merger, dated as of June 28, 2021, by and among DFP Healthcare Acquisitions Corp., Orion Merger Sub I, Inc., Orion Merger Sub II, LLC and TOI Parent, Inc.</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333-258152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 2021</w:t>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The Oncology Institute,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18, 2021</w:t>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The Oncology Institute,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18, 2021</w:t>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Designation of Series A Common Stock Equivalent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22, 2021</w:t>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Correction to Certificate of Designation of Preferences, Rights and Limitations of Series A Common Stock Equivalent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25, 2025</w:t>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Amendment to Certificate of Designation of Preferences, Rights and Limitations of Series A Common Stock Equivalent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25, 2025</w:t>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Warrant Agreement, dated March 10, 2020, by and between DFP and Continental Stock Transfer &amp; Trust Company, as warrant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2020</w:t>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Specimen Preferred Stock Certificate of The Oncology Institute,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22, 2021</w:t>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Secured Convertible Note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2022</w:t>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Form of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2022</w:t>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Times New Roman;serif" w:hAnsi="Times New Roman;serif"/>
                  <w:b w:val="false"/>
                  <w:color w:val="0000FF"/>
                  <w:sz w:val="20"/>
                  <w:u w:val="single"/>
                </w:rPr>
                <w:t>Form of pre-funded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25, 2025</w:t>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Times New Roman;serif" w:hAnsi="Times New Roman;serif"/>
                  <w:b w:val="false"/>
                  <w:color w:val="0000FF"/>
                  <w:sz w:val="20"/>
                  <w:u w:val="single"/>
                </w:rPr>
                <w:t>Form of Common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25, 2025</w:t>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Times New Roman;serif" w:hAnsi="Times New Roman;serif"/>
                  <w:b w:val="false"/>
                  <w:color w:val="0000FF"/>
                  <w:sz w:val="20"/>
                  <w:u w:val="single"/>
                </w:rPr>
                <w:t>Form of Deerfield Common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25, 2025</w:t>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At-The-Market Sales Agreement, dated August 13, 2025 between The Oncology Institute, Inc. and BTIG,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13, 2025</w:t>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At-The-Market Sales Agreement, dated August 13, 2025 between The Oncology Institute, Inc. and B. Riley Securities, Inc</w:t>
              </w:r>
            </w:hyperlink>
            <w:r>
              <w:rPr>
                <w:rFonts w:ascii="Times New Roman;serif" w:hAnsi="Times New Roman;serif"/>
                <w:b w:val="false"/>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13, 2025</w:t>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1-certificationrule13a.htm">
              <w:r>
                <w:rPr>
                  <w:rStyle w:val="InternetLink"/>
                  <w:rFonts w:ascii="Times New Roman;serif" w:hAnsi="Times New Roman;serif"/>
                  <w:b w:val="false"/>
                  <w:color w:val="0000FF"/>
                  <w:sz w:val="20"/>
                  <w:u w:val="single"/>
                </w:rPr>
                <w:t>Certification Pursuant to Rule 13a-14(a) under the Securities Exchange Act of 1934 of the Principal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7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0"/>
        <w:gridCol w:w="263"/>
        <w:gridCol w:w="265"/>
        <w:gridCol w:w="109"/>
        <w:gridCol w:w="109"/>
        <w:gridCol w:w="109"/>
        <w:gridCol w:w="109"/>
        <w:gridCol w:w="109"/>
        <w:gridCol w:w="1026"/>
        <w:gridCol w:w="793"/>
        <w:gridCol w:w="801"/>
        <w:gridCol w:w="109"/>
        <w:gridCol w:w="109"/>
        <w:gridCol w:w="109"/>
        <w:gridCol w:w="195"/>
        <w:gridCol w:w="195"/>
        <w:gridCol w:w="196"/>
        <w:gridCol w:w="109"/>
        <w:gridCol w:w="109"/>
        <w:gridCol w:w="109"/>
        <w:gridCol w:w="268"/>
        <w:gridCol w:w="268"/>
        <w:gridCol w:w="269"/>
        <w:gridCol w:w="109"/>
        <w:gridCol w:w="109"/>
        <w:gridCol w:w="109"/>
        <w:gridCol w:w="109"/>
        <w:gridCol w:w="245"/>
        <w:gridCol w:w="245"/>
        <w:gridCol w:w="246"/>
        <w:gridCol w:w="109"/>
        <w:gridCol w:w="109"/>
        <w:gridCol w:w="109"/>
        <w:gridCol w:w="109"/>
        <w:gridCol w:w="209"/>
        <w:gridCol w:w="209"/>
        <w:gridCol w:w="210"/>
        <w:gridCol w:w="109"/>
        <w:gridCol w:w="1004"/>
        <w:gridCol w:w="109"/>
        <w:gridCol w:w="109"/>
        <w:gridCol w:w="109"/>
        <w:gridCol w:w="109"/>
        <w:gridCol w:w="109"/>
        <w:gridCol w:w="109"/>
        <w:gridCol w:w="164"/>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19"/>
            <w:tcBorders/>
            <w:tcMar>
              <w:top w:w="0" w:type="dxa"/>
              <w:left w:w="0" w:type="dxa"/>
              <w:bottom w:w="0" w:type="dxa"/>
              <w:right w:w="0" w:type="dxa"/>
            </w:tcMar>
            <w:vAlign w:val="center"/>
          </w:tcPr>
          <w:p>
            <w:pPr>
              <w:pStyle w:val="TableContents"/>
              <w:bidi w:val="0"/>
              <w:spacing w:lineRule="auto" w:line="16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tcBorders/>
            <w:tcMar>
              <w:top w:w="0" w:type="dxa"/>
              <w:left w:w="0" w:type="dxa"/>
              <w:bottom w:w="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Filed or Furnished Herewith</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 w:type="dxa"/>
            <w:gridSpan w:val="4"/>
            <w:tcBorders/>
          </w:tcPr>
          <w:p>
            <w:pPr>
              <w:pStyle w:val="TableContents"/>
              <w:bidi w:val="0"/>
              <w:spacing w:before="0" w:after="283"/>
              <w:jc w:val="left"/>
              <w:rPr>
                <w:sz w:val="4"/>
                <w:szCs w:val="4"/>
              </w:rPr>
            </w:pPr>
            <w:r>
              <w:rPr>
                <w:sz w:val="4"/>
                <w:szCs w:val="4"/>
              </w:rPr>
            </w:r>
          </w:p>
        </w:tc>
      </w:tr>
      <w:tr>
        <w:trPr/>
        <w:tc>
          <w:tcPr>
            <w:tcW w:w="828" w:type="dxa"/>
            <w:gridSpan w:val="3"/>
            <w:tcBorders>
              <w:top w:val="single" w:sz="8" w:space="0" w:color="FFFFFF"/>
              <w:bottom w:val="single" w:sz="8" w:space="0" w:color="000000"/>
            </w:tcBorders>
            <w:tcMar>
              <w:top w:w="30" w:type="dxa"/>
              <w:left w:w="0" w:type="dxa"/>
              <w:bottom w:w="3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op w:val="single" w:sz="8" w:space="0" w:color="FFFFFF"/>
              <w:bottom w:val="single" w:sz="8" w:space="0" w:color="000000"/>
            </w:tcBorders>
            <w:tcMar>
              <w:top w:w="30" w:type="dxa"/>
              <w:left w:w="0" w:type="dxa"/>
              <w:bottom w:w="3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2-certificationrule13a.htm">
              <w:r>
                <w:rPr>
                  <w:rStyle w:val="InternetLink"/>
                  <w:rFonts w:ascii="Times New Roman;serif" w:hAnsi="Times New Roman;serif"/>
                  <w:b w:val="false"/>
                  <w:color w:val="0000FF"/>
                  <w:sz w:val="20"/>
                  <w:u w:val="single"/>
                </w:rPr>
                <w:t>Certification Pursuant to Rule 13a-14(a) under Securities Exchange Act of 1934 of the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64"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21-ceocertificationsect.htm">
              <w:r>
                <w:rPr>
                  <w:rStyle w:val="InternetLink"/>
                  <w:rFonts w:ascii="Times New Roman;serif" w:hAnsi="Times New Roman;serif"/>
                  <w:b w:val="false"/>
                  <w:color w:val="0000FF"/>
                  <w:sz w:val="20"/>
                  <w:u w:val="single"/>
                </w:rPr>
                <w:t>Certification Pursuant to 18 U.S.C. Section 1350, As Adopted Pursuant to Section 906 of the Sarbanes-Oxley Act of 2002 of the Principal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64"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22-cfocertificationsect.htm">
              <w:r>
                <w:rPr>
                  <w:rStyle w:val="InternetLink"/>
                  <w:rFonts w:ascii="Times New Roman;serif" w:hAnsi="Times New Roman;serif"/>
                  <w:b w:val="false"/>
                  <w:color w:val="0000FF"/>
                  <w:sz w:val="20"/>
                  <w:u w:val="single"/>
                </w:rPr>
                <w:t>Certification Pursuant to 18 U.S.C. Section 1350, As Adopted Pursuant to Section 906 of the Sarbanes-Oxley Act of 2002 of the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64"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Interactive Data File — the following financial statements from The Oncology Institute's Quarterly Report on Form 10-Q formatted in inline XBRL (Extensible Business Reporting Language) includes: (i) the Condensed Consolidated Balance Sheets, (ii) the Condensed Consolidated Statements of Operations, (iii) the Condensed Consolidated Statements of C</w:t>
            </w:r>
            <w:r>
              <w:rPr>
                <w:rFonts w:ascii="Times New Roman;serif" w:hAnsi="Times New Roman;serif"/>
                <w:b w:val="false"/>
                <w:color w:val="231F20"/>
                <w:sz w:val="20"/>
              </w:rPr>
              <w:t>onvertible Preferred Stock and Changes in Stockholders’ Equity</w:t>
            </w:r>
            <w:r>
              <w:rPr>
                <w:rFonts w:ascii="Times New Roman;serif" w:hAnsi="Times New Roman;serif"/>
                <w:b w:val="false"/>
                <w:color w:val="000000"/>
                <w:sz w:val="20"/>
              </w:rPr>
              <w:t>, (iv) the Condensed Consolidated Statements of Cash Flows, and (v) Notes to the Condensed Consolidated Financial Statements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64"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XBRL Instance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XBRL Taxonomy Extension Schema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XBRL Taxonomy Extension Calculation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XBRL Taxonomy Extension Definition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XBRL Taxonomy Extension Label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Registration Statement to be signed on its behalf by the undersigned hereunto duly authorized, on May 7, 2026. </w:t>
      </w:r>
    </w:p>
    <w:p>
      <w:pPr>
        <w:pStyle w:val="TextBody"/>
        <w:bidi w:val="0"/>
        <w:spacing w:before="0" w:after="0"/>
        <w:jc w:val="left"/>
        <w:rPr/>
      </w:pPr>
      <w:r>
        <w:rPr/>
      </w:r>
    </w:p>
    <w:tbl>
      <w:tblPr>
        <w:tblW w:w="6391" w:type="dxa"/>
        <w:jc w:val="left"/>
        <w:tblInd w:w="0" w:type="dxa"/>
        <w:tblLayout w:type="fixed"/>
        <w:tblCellMar>
          <w:top w:w="28" w:type="dxa"/>
          <w:left w:w="28" w:type="dxa"/>
          <w:bottom w:w="28" w:type="dxa"/>
          <w:right w:w="28" w:type="dxa"/>
        </w:tblCellMar>
      </w:tblPr>
      <w:tblGrid>
        <w:gridCol w:w="550"/>
        <w:gridCol w:w="483"/>
        <w:gridCol w:w="483"/>
        <w:gridCol w:w="1416"/>
        <w:gridCol w:w="1416"/>
        <w:gridCol w:w="2043"/>
      </w:tblGrid>
      <w:tr>
        <w:trPr/>
        <w:tc>
          <w:tcPr>
            <w:tcW w:w="5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639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ONCOLOGY INSTITUTE, INC. </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Carter</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Carter</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RULE 13a-14(a)/15d-14(a) CERTIFICATION PURSUANT TO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Daniel Virnich, certify that:</w:t>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period ended March 31, 2026 of The Oncology Institute, Inc.;</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1733" w:type="dxa"/>
        <w:jc w:val="left"/>
        <w:tblInd w:w="0" w:type="dxa"/>
        <w:tblLayout w:type="fixed"/>
        <w:tblCellMar>
          <w:top w:w="28" w:type="dxa"/>
          <w:left w:w="28" w:type="dxa"/>
          <w:bottom w:w="28" w:type="dxa"/>
          <w:right w:w="28" w:type="dxa"/>
        </w:tblCellMar>
      </w:tblPr>
      <w:tblGrid>
        <w:gridCol w:w="200"/>
        <w:gridCol w:w="177"/>
        <w:gridCol w:w="178"/>
        <w:gridCol w:w="125"/>
        <w:gridCol w:w="125"/>
        <w:gridCol w:w="125"/>
        <w:gridCol w:w="125"/>
        <w:gridCol w:w="125"/>
        <w:gridCol w:w="125"/>
        <w:gridCol w:w="125"/>
        <w:gridCol w:w="125"/>
        <w:gridCol w:w="17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7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May 7, 2026</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392" w:type="dxa"/>
        <w:jc w:val="left"/>
        <w:tblInd w:w="0" w:type="dxa"/>
        <w:tblLayout w:type="fixed"/>
        <w:tblCellMar>
          <w:top w:w="28" w:type="dxa"/>
          <w:left w:w="28" w:type="dxa"/>
          <w:bottom w:w="28" w:type="dxa"/>
          <w:right w:w="28" w:type="dxa"/>
        </w:tblCellMar>
      </w:tblPr>
      <w:tblGrid>
        <w:gridCol w:w="252"/>
        <w:gridCol w:w="221"/>
        <w:gridCol w:w="221"/>
        <w:gridCol w:w="221"/>
        <w:gridCol w:w="221"/>
        <w:gridCol w:w="221"/>
        <w:gridCol w:w="221"/>
        <w:gridCol w:w="221"/>
        <w:gridCol w:w="221"/>
        <w:gridCol w:w="109"/>
        <w:gridCol w:w="109"/>
        <w:gridCol w:w="154"/>
      </w:tblGrid>
      <w:tr>
        <w:trPr/>
        <w:tc>
          <w:tcPr>
            <w:tcW w:w="2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Daniel Virnich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Daniel Virnich</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RULE 13a-14(a)/15d-14(a) CERTIFICATION PURSUANT TO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Robert Carter, certify that: </w:t>
      </w:r>
    </w:p>
    <w:p>
      <w:pPr>
        <w:pStyle w:val="TextBody"/>
        <w:bidi w:val="0"/>
        <w:spacing w:before="0" w:after="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period ended March 31, 2026 of The Oncology Institute, Inc.;</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1736" w:type="dxa"/>
        <w:jc w:val="left"/>
        <w:tblInd w:w="0" w:type="dxa"/>
        <w:tblLayout w:type="fixed"/>
        <w:tblCellMar>
          <w:top w:w="28" w:type="dxa"/>
          <w:left w:w="28" w:type="dxa"/>
          <w:bottom w:w="28" w:type="dxa"/>
          <w:right w:w="28" w:type="dxa"/>
        </w:tblCellMar>
      </w:tblPr>
      <w:tblGrid>
        <w:gridCol w:w="200"/>
        <w:gridCol w:w="177"/>
        <w:gridCol w:w="178"/>
        <w:gridCol w:w="184"/>
        <w:gridCol w:w="184"/>
        <w:gridCol w:w="184"/>
        <w:gridCol w:w="184"/>
        <w:gridCol w:w="184"/>
        <w:gridCol w:w="2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8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May 7, 2026</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081" w:type="dxa"/>
        <w:jc w:val="left"/>
        <w:tblInd w:w="0" w:type="dxa"/>
        <w:tblLayout w:type="fixed"/>
        <w:tblCellMar>
          <w:top w:w="28" w:type="dxa"/>
          <w:left w:w="28" w:type="dxa"/>
          <w:bottom w:w="28" w:type="dxa"/>
          <w:right w:w="28" w:type="dxa"/>
        </w:tblCellMar>
      </w:tblPr>
      <w:tblGrid>
        <w:gridCol w:w="247"/>
        <w:gridCol w:w="218"/>
        <w:gridCol w:w="218"/>
        <w:gridCol w:w="218"/>
        <w:gridCol w:w="218"/>
        <w:gridCol w:w="218"/>
        <w:gridCol w:w="218"/>
        <w:gridCol w:w="218"/>
        <w:gridCol w:w="308"/>
      </w:tblGrid>
      <w:tr>
        <w:trPr/>
        <w:tc>
          <w:tcPr>
            <w:tcW w:w="24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0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Robert Carter</w:t>
            </w:r>
          </w:p>
        </w:tc>
      </w:tr>
      <w:tr>
        <w:trPr/>
        <w:tc>
          <w:tcPr>
            <w:tcW w:w="20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Robert Carter</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Section 906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before="0" w:after="0"/>
        <w:jc w:val="center"/>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The Oncology Institute, Inc.. (the “Company”) on Form 10-Q for the period ended March 31, 2026, as filed with the Securities and Exchange Commission on the date hereof (the “Report”), I, Daniel Virnich, Chief Executive Officer of the Company, certify, pursuant to 18 U.S.C. Section 1350, as adopted pursuant to Section 906 of the Sarbanes-Oxley Act of 2002, that, to my knowledge: </w:t>
      </w:r>
    </w:p>
    <w:p>
      <w:pPr>
        <w:pStyle w:val="TextBody"/>
        <w:bidi w:val="0"/>
        <w:spacing w:before="0" w:after="0"/>
        <w:ind w:left="0" w:right="0" w:firstLine="495"/>
        <w:jc w:val="both"/>
        <w:rPr/>
      </w:pPr>
      <w:r>
        <w:rPr/>
      </w:r>
    </w:p>
    <w:p>
      <w:pPr>
        <w:pStyle w:val="TextBody"/>
        <w:bidi w:val="0"/>
        <w:spacing w:lineRule="auto" w:line="268" w:before="0" w:after="0"/>
        <w:ind w:left="0" w:right="0" w:hanging="270"/>
        <w:jc w:val="both"/>
        <w:rPr/>
      </w:pPr>
      <w:r>
        <w:rPr>
          <w:rFonts w:ascii="Times New Roman;serif" w:hAnsi="Times New Roman;serif"/>
          <w:b w:val="false"/>
          <w:color w:val="000000"/>
          <w:sz w:val="20"/>
        </w:rPr>
        <w:t>1.    The Report fully complies with the requirements of Section 13(a) or 15(d) of the Securities Exchange Act of</w:t>
      </w:r>
      <w:r>
        <w:rPr>
          <w:color w:val="000000"/>
        </w:rPr>
        <w:t xml:space="preserve"> </w:t>
      </w:r>
      <w:r>
        <w:rPr>
          <w:rFonts w:ascii="Times New Roman;serif" w:hAnsi="Times New Roman;serif"/>
          <w:b w:val="false"/>
          <w:color w:val="000000"/>
          <w:sz w:val="20"/>
        </w:rPr>
        <w:t>1934; and</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witness whereof, the undersigned has executed and delivered this certificate as of the date set forth opposite his signature below.</w:t>
      </w:r>
    </w:p>
    <w:tbl>
      <w:tblPr>
        <w:tblW w:w="3746" w:type="dxa"/>
        <w:jc w:val="left"/>
        <w:tblInd w:w="0" w:type="dxa"/>
        <w:tblLayout w:type="fixed"/>
        <w:tblCellMar>
          <w:top w:w="28" w:type="dxa"/>
          <w:left w:w="28" w:type="dxa"/>
          <w:bottom w:w="28" w:type="dxa"/>
          <w:right w:w="28" w:type="dxa"/>
        </w:tblCellMar>
      </w:tblPr>
      <w:tblGrid>
        <w:gridCol w:w="200"/>
        <w:gridCol w:w="177"/>
        <w:gridCol w:w="178"/>
        <w:gridCol w:w="189"/>
        <w:gridCol w:w="189"/>
        <w:gridCol w:w="189"/>
        <w:gridCol w:w="189"/>
        <w:gridCol w:w="189"/>
        <w:gridCol w:w="195"/>
        <w:gridCol w:w="218"/>
        <w:gridCol w:w="218"/>
        <w:gridCol w:w="218"/>
        <w:gridCol w:w="218"/>
        <w:gridCol w:w="218"/>
        <w:gridCol w:w="218"/>
        <w:gridCol w:w="218"/>
        <w:gridCol w:w="218"/>
        <w:gridCol w:w="3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4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May 7, 2026</w:t>
            </w:r>
          </w:p>
        </w:tc>
        <w:tc>
          <w:tcPr>
            <w:tcW w:w="20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Daniel Virnich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Daniel Virnich</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Exchange Commission or its staff upon request. </w:t>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Section 906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before="0" w:after="0"/>
        <w:jc w:val="center"/>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The Oncology Institute, Inc. (the “Company”) on Form 10-Q for the period ended March 31, 2026, as filed with the Securities and Exchange Commission on the date hereof (the “Report”), I, Robert Carter, Chief Financial Officer of the Company, certify, pursuant to 18 U.S.C. Section 1350, as adopted pursuant to Section 906 of the Sarbanes-Oxley Act of 2002, that, to my knowledge: </w:t>
      </w:r>
    </w:p>
    <w:p>
      <w:pPr>
        <w:pStyle w:val="TextBody"/>
        <w:bidi w:val="0"/>
        <w:spacing w:before="0" w:after="0"/>
        <w:ind w:left="0" w:right="0" w:firstLine="495"/>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witness whereof, the undersigned has executed and delivered this certificate as of the date set forth opposite his signature below.</w:t>
      </w:r>
    </w:p>
    <w:tbl>
      <w:tblPr>
        <w:tblW w:w="3753" w:type="dxa"/>
        <w:jc w:val="left"/>
        <w:tblInd w:w="0" w:type="dxa"/>
        <w:tblLayout w:type="fixed"/>
        <w:tblCellMar>
          <w:top w:w="28" w:type="dxa"/>
          <w:left w:w="28" w:type="dxa"/>
          <w:bottom w:w="28" w:type="dxa"/>
          <w:right w:w="28" w:type="dxa"/>
        </w:tblCellMar>
      </w:tblPr>
      <w:tblGrid>
        <w:gridCol w:w="200"/>
        <w:gridCol w:w="177"/>
        <w:gridCol w:w="178"/>
        <w:gridCol w:w="126"/>
        <w:gridCol w:w="126"/>
        <w:gridCol w:w="126"/>
        <w:gridCol w:w="126"/>
        <w:gridCol w:w="126"/>
        <w:gridCol w:w="126"/>
        <w:gridCol w:w="126"/>
        <w:gridCol w:w="126"/>
        <w:gridCol w:w="126"/>
        <w:gridCol w:w="219"/>
        <w:gridCol w:w="219"/>
        <w:gridCol w:w="219"/>
        <w:gridCol w:w="219"/>
        <w:gridCol w:w="219"/>
        <w:gridCol w:w="219"/>
        <w:gridCol w:w="219"/>
        <w:gridCol w:w="219"/>
        <w:gridCol w:w="31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May 7, 2026</w:t>
            </w:r>
          </w:p>
        </w:tc>
        <w:tc>
          <w:tcPr>
            <w:tcW w:w="20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Robert Carter</w:t>
            </w:r>
          </w:p>
        </w:tc>
      </w:tr>
      <w:tr>
        <w:trPr/>
        <w:tc>
          <w:tcPr>
            <w:tcW w:w="13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Robert Carter</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Exchange Commission or its staff upon request. </w:t>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9191/000110465921141302/tm2133107d1_ex3-1.htm" TargetMode="External"/><Relationship Id="rId3" Type="http://schemas.openxmlformats.org/officeDocument/2006/relationships/hyperlink" Target="https://www.sec.gov/Archives/edgar/data/1799191/000110465921141302/tm2133107d1_ex3-2.htm" TargetMode="External"/><Relationship Id="rId4" Type="http://schemas.openxmlformats.org/officeDocument/2006/relationships/hyperlink" Target="https://www.sec.gov/Archives/edgar/data/1799191/000110465921142621/tm2133107d2_ex3-3.htm" TargetMode="External"/><Relationship Id="rId5" Type="http://schemas.openxmlformats.org/officeDocument/2006/relationships/hyperlink" Target="https://www.sec.gov/Archives/edgar/data/1799191/000107997325000460/ex3x1.htm" TargetMode="External"/><Relationship Id="rId6" Type="http://schemas.openxmlformats.org/officeDocument/2006/relationships/hyperlink" Target="https://www.sec.gov/Archives/edgar/data/1799191/000107997325000460/ex3x2.htm" TargetMode="External"/><Relationship Id="rId7" Type="http://schemas.openxmlformats.org/officeDocument/2006/relationships/hyperlink" Target="https://www.sec.gov/Archives/edgar/data/1799191/000110465920032909/tm201723d6_ex4-1.htm" TargetMode="External"/><Relationship Id="rId8" Type="http://schemas.openxmlformats.org/officeDocument/2006/relationships/hyperlink" Target="https://www.sec.gov/Archives/edgar/data/1799191/000110465921142621/tm2133107d2_ex4-2.htm" TargetMode="External"/><Relationship Id="rId9" Type="http://schemas.openxmlformats.org/officeDocument/2006/relationships/hyperlink" Target="https://www.sec.gov/Archives/edgar/data/1799191/000162828022022087/a41-formofseniorconvertibl.htm" TargetMode="External"/><Relationship Id="rId10" Type="http://schemas.openxmlformats.org/officeDocument/2006/relationships/hyperlink" Target="https://www.sec.gov/Archives/edgar/data/1799191/000162828022022087/a42formofwarrant.htm" TargetMode="External"/><Relationship Id="rId11" Type="http://schemas.openxmlformats.org/officeDocument/2006/relationships/hyperlink" Target="https://www.sec.gov/Archives/edgar/data/1799191/000107997325000460/ex4x1.htm" TargetMode="External"/><Relationship Id="rId12" Type="http://schemas.openxmlformats.org/officeDocument/2006/relationships/hyperlink" Target="https://www.sec.gov/Archives/edgar/data/1799191/000107997325000460/ex4x2.htm" TargetMode="External"/><Relationship Id="rId13" Type="http://schemas.openxmlformats.org/officeDocument/2006/relationships/hyperlink" Target="https://www.sec.gov/Archives/edgar/data/1799191/000107997325000460/ex4x3.htm" TargetMode="External"/><Relationship Id="rId14" Type="http://schemas.openxmlformats.org/officeDocument/2006/relationships/hyperlink" Target="https://www.sec.gov/Archives/edgar/data/1799191/000162828025040225/ex101-btigsalesagreement.htm" TargetMode="External"/><Relationship Id="rId15" Type="http://schemas.openxmlformats.org/officeDocument/2006/relationships/hyperlink" Target="https://www.sec.gov/Archives/edgar/data/1799191/000162828025040225/ex102-brileysalesagreement.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24928</Words>
  <Characters>138376</Characters>
  <CharactersWithSpaces>161918</CharactersWithSpaces>
  <Paragraphs>2850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