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600" w:type="dxa"/>
            <w:vAlign w:val="bottom"/>
          </w:tcPr>
          <w:p>
            <w:pPr>
              <w:spacing w:after="0"/>
              <w:rPr>
                <w:sz w:val="20"/>
                <w:szCs w:val="20"/>
                <w:color w:val="auto"/>
              </w:rPr>
            </w:pPr>
          </w:p>
        </w:tc>
      </w:tr>
      <w:tr>
        <w:trPr>
          <w:trHeight w:val="410"/>
        </w:trPr>
        <w:tc>
          <w:tcPr>
            <w:tcW w:w="3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Current Report</w:t>
            </w:r>
          </w:p>
        </w:tc>
        <w:tc>
          <w:tcPr>
            <w:tcW w:w="360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tc>
        <w:tc>
          <w:tcPr>
            <w:tcW w:w="3600" w:type="dxa"/>
            <w:vAlign w:val="bottom"/>
          </w:tcPr>
          <w:p>
            <w:pPr>
              <w:spacing w:after="0"/>
              <w:rPr>
                <w:sz w:val="18"/>
                <w:szCs w:val="18"/>
                <w:color w:val="auto"/>
              </w:rPr>
            </w:pPr>
          </w:p>
        </w:tc>
      </w:tr>
      <w:tr>
        <w:trPr>
          <w:trHeight w:val="238"/>
        </w:trPr>
        <w:tc>
          <w:tcPr>
            <w:tcW w:w="3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3600" w:type="dxa"/>
            <w:vAlign w:val="bottom"/>
          </w:tcPr>
          <w:p>
            <w:pPr>
              <w:spacing w:after="0"/>
              <w:rPr>
                <w:sz w:val="20"/>
                <w:szCs w:val="20"/>
                <w:color w:val="auto"/>
              </w:rPr>
            </w:pPr>
          </w:p>
        </w:tc>
      </w:tr>
      <w:tr>
        <w:trPr>
          <w:trHeight w:val="414"/>
        </w:trPr>
        <w:tc>
          <w:tcPr>
            <w:tcW w:w="3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December 19, 2024</w:t>
            </w:r>
          </w:p>
        </w:tc>
        <w:tc>
          <w:tcPr>
            <w:tcW w:w="3600" w:type="dxa"/>
            <w:vAlign w:val="bottom"/>
          </w:tcPr>
          <w:p>
            <w:pPr>
              <w:spacing w:after="0"/>
              <w:rPr>
                <w:sz w:val="24"/>
                <w:szCs w:val="24"/>
                <w:color w:val="auto"/>
              </w:rPr>
            </w:pPr>
          </w:p>
        </w:tc>
      </w:tr>
      <w:tr>
        <w:trPr>
          <w:trHeight w:val="234"/>
        </w:trPr>
        <w:tc>
          <w:tcPr>
            <w:tcW w:w="3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2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3600" w:type="dxa"/>
            <w:vAlign w:val="bottom"/>
          </w:tcPr>
          <w:p>
            <w:pPr>
              <w:spacing w:after="0"/>
              <w:rPr>
                <w:sz w:val="20"/>
                <w:szCs w:val="20"/>
                <w:color w:val="auto"/>
              </w:rPr>
            </w:pPr>
          </w:p>
        </w:tc>
      </w:tr>
      <w:tr>
        <w:trPr>
          <w:trHeight w:val="392"/>
        </w:trPr>
        <w:tc>
          <w:tcPr>
            <w:tcW w:w="3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ONCOLOGY INSTITUTE, INC.</w:t>
            </w:r>
          </w:p>
        </w:tc>
        <w:tc>
          <w:tcPr>
            <w:tcW w:w="520" w:type="dxa"/>
            <w:vAlign w:val="bottom"/>
            <w:gridSpan w:val="2"/>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3320" w:type="dxa"/>
            <w:vAlign w:val="bottom"/>
          </w:tcPr>
          <w:p>
            <w:pPr>
              <w:spacing w:after="0"/>
              <w:rPr>
                <w:sz w:val="20"/>
                <w:szCs w:val="20"/>
                <w:color w:val="auto"/>
              </w:rPr>
            </w:pPr>
          </w:p>
        </w:tc>
        <w:tc>
          <w:tcPr>
            <w:tcW w:w="4320" w:type="dxa"/>
            <w:vAlign w:val="bottom"/>
            <w:gridSpan w:val="8"/>
          </w:tcPr>
          <w:p>
            <w:pPr>
              <w:jc w:val="center"/>
              <w:ind w:left="1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00" w:type="dxa"/>
            <w:vAlign w:val="bottom"/>
          </w:tcPr>
          <w:p>
            <w:pPr>
              <w:spacing w:after="0"/>
              <w:rPr>
                <w:sz w:val="20"/>
                <w:szCs w:val="20"/>
                <w:color w:val="auto"/>
              </w:rPr>
            </w:pPr>
          </w:p>
        </w:tc>
      </w:tr>
      <w:tr>
        <w:trPr>
          <w:trHeight w:val="452"/>
        </w:trPr>
        <w:tc>
          <w:tcPr>
            <w:tcW w:w="332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0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001-39248</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84-3562323</w:t>
            </w:r>
          </w:p>
        </w:tc>
      </w:tr>
      <w:tr>
        <w:trPr>
          <w:trHeight w:val="198"/>
        </w:trPr>
        <w:tc>
          <w:tcPr>
            <w:tcW w:w="3320" w:type="dxa"/>
            <w:vAlign w:val="bottom"/>
            <w:tcBorders>
              <w:top w:val="single" w:sz="8" w:color="auto"/>
            </w:tcBorders>
          </w:tcPr>
          <w:p>
            <w:pPr>
              <w:jc w:val="center"/>
              <w:ind w:left="43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gridSpan w:val="4"/>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of incorporation)</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7640" w:type="dxa"/>
            <w:vAlign w:val="bottom"/>
            <w:gridSpan w:val="9"/>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18000 Studebaker Road, Suite 800, Cerritos, CA</w:t>
            </w:r>
          </w:p>
        </w:tc>
        <w:tc>
          <w:tcPr>
            <w:tcW w:w="3600" w:type="dxa"/>
            <w:vAlign w:val="bottom"/>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90703</w:t>
            </w:r>
          </w:p>
        </w:tc>
      </w:tr>
      <w:tr>
        <w:trPr>
          <w:trHeight w:val="234"/>
        </w:trPr>
        <w:tc>
          <w:tcPr>
            <w:tcW w:w="574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(562) 735-3226</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9"/>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12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TOI</w:t>
            </w:r>
          </w:p>
        </w:tc>
        <w:tc>
          <w:tcPr>
            <w:tcW w:w="1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8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Redeemable Warrants, each whole Warrant exercisable for one</w:t>
            </w:r>
          </w:p>
        </w:tc>
        <w:tc>
          <w:tcPr>
            <w:tcW w:w="27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TOIIW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 of Common Stock, each at an exercise price of $11.50 per</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June 20, 2024, The Oncology Institute, Inc. (the “Company”) received a letter (the “First Nasdaq Bid Price Letter”) from The Nasdaq Stock Market LLC (“Nasdaq”) indicating that the Company is no longer in compliance with Nasdaq Listing Rule 5550(a)(2), because the minimum bid price of the Company’s common stock (the “Common Stock”) had closed below the minimum $1.00 per share requirement for continued listing on The Nasdaq Capital Market under Nasdaq Listing Rule 5550(a)(2) (the "Minimum Bid Price Requirement”). In accordance with Nasdaq Listing Rule 5810(c)(3)(A), the Company was provided an initial period of 180 calendar days, or until December 17, 2024, to regain compliance. As of the date of this report the Common Stock has not regained compliance with the Minimum Bid Price Requirement.</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However, in a letter dated December 19, 2024 (the “Second Nasdaq Bid Price Letter”), Nasdaq notified the Company that Nasdaq’s Staff has determined that the Company is eligible for an additional 180 calendar day period, or until June 16, 2025, to regain compliance (the “Second Compliance Period”). The determination is based on the Company’s meeting the continued listing requirement for market value of publicly held shares and all other applicable requirements for initial listing on The Nasdaq Capital Market with the exception of the Minimum Bid Price Requirement, and the Company’s written notice of its intention to cure the deficiency during the Second Compliance Period by effecting a reverse stock split, if necessary. If the Company chooses to implement a reverse stock split, it must complete the split no later than ten business days prior to the end of the Second Compliance Period in order to timely regain compliance.</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Second Nasdaq Bid Price Letter has no immediate effect on the listing or trading of the Common Stock. The Company intends to cure the deficiency between now and the expiration of the Second Compliance Period and will consider all available options to resolve the deficiency including effecting a reverse stock split, if necessary, with every intention to regain compliance with the Minimum Bid Price Requirement.</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However, if the Company does not regain compliance by the end of the Second Compliance Period, Nasdaq will notify the Company that its securities would be subject to delisting. In the event of such a notification, the Company may appeal the Nasdaq Staff’s determination to delist its securities before the Nasdaq Hearings Panel (the “Panel”). However, there can be no assurance that, in the event of such appeal, the Panel would grant the Company’s request for continued listing.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Report contains statements that are forward-looking and as such are not historical facts. This includes statements regarding the Company’s future intention to regain compliance with the minimum bid price requirement and similar expectations, beliefs, plans, objectives, assumptions or projections of the Company and therefore are, or may be deemed to be, “forward-looking statements.” These forward-looking statements can generally be identified by the use of forward-looking terminology, including the terms “believes,” “estimates,” “anticipates,” “expects,” “seeks,” “projects,” “intends,” “plans,” “might,” “possible,” “potential,” “predicts,” “may,” “would,” “could,” “will” or “should” or, in each case, their negative or other variations or comparable terminology, but the absence of these words does not mean that a statement is not forward-looking. Such forward-looking statements are based on management’s expectations, beliefs and forecasts concerning future events impacting the Company. One should carefully consider the risks and uncertainties described in the “Risk Factors” section of the Company’s latest Annual Report on Form 10-K for the fiscal year ended December 31, 2023, its Quarterly Report on Form 10-Q for the period ended September 30, 2024 and the other documents filed by the Company from time to time with the SEC. The Company undertakes no obligation to update or revise any forward-looking statements, whether as a result of new information, future events or otherwise, except as may be required under applicable securities laws.</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20"/>
                <w:szCs w:val="20"/>
                <w:color w:val="auto"/>
              </w:rPr>
            </w:pPr>
          </w:p>
        </w:tc>
        <w:tc>
          <w:tcPr>
            <w:tcW w:w="954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0"/>
        </w:trPr>
        <w:tc>
          <w:tcPr>
            <w:tcW w:w="136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9540" w:type="dxa"/>
            <w:vAlign w:val="bottom"/>
            <w:tcBorders>
              <w:bottom w:val="single" w:sz="8" w:color="auto"/>
            </w:tcBorders>
          </w:tcPr>
          <w:p>
            <w:pPr>
              <w:spacing w:after="0"/>
              <w:rPr>
                <w:sz w:val="3"/>
                <w:szCs w:val="3"/>
                <w:color w:val="auto"/>
              </w:rPr>
            </w:pPr>
          </w:p>
        </w:tc>
      </w:tr>
      <w:tr>
        <w:trPr>
          <w:trHeight w:val="236"/>
        </w:trPr>
        <w:tc>
          <w:tcPr>
            <w:tcW w:w="136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96"/>
              </w:rPr>
              <w:t>104</w:t>
            </w:r>
          </w:p>
        </w:tc>
        <w:tc>
          <w:tcPr>
            <w:tcW w:w="340" w:type="dxa"/>
            <w:vAlign w:val="bottom"/>
            <w:shd w:val="clear" w:color="auto" w:fill="CCEEFF"/>
          </w:tcPr>
          <w:p>
            <w:pPr>
              <w:spacing w:after="0"/>
              <w:rPr>
                <w:sz w:val="20"/>
                <w:szCs w:val="20"/>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December 19, 2024</w:t>
      </w:r>
      <w:r>
        <w:rPr>
          <w:sz w:val="20"/>
          <w:szCs w:val="20"/>
          <w:color w:val="auto"/>
        </w:rPr>
        <w:tab/>
      </w:r>
      <w:r>
        <w:rPr>
          <w:rFonts w:ascii="Times New Roman" w:cs="Times New Roman" w:eastAsia="Times New Roman" w:hAnsi="Times New Roman"/>
          <w:sz w:val="17"/>
          <w:szCs w:val="17"/>
          <w:b w:val="1"/>
          <w:bCs w:val="1"/>
          <w:color w:val="auto"/>
        </w:rPr>
        <w:t>THE ONCOLOGY INSTITUTE, INC.</w:t>
      </w:r>
    </w:p>
    <w:p>
      <w:pPr>
        <w:spacing w:after="0" w:line="229" w:lineRule="exact"/>
        <w:rPr>
          <w:sz w:val="20"/>
          <w:szCs w:val="20"/>
          <w:color w:val="auto"/>
        </w:rPr>
      </w:pPr>
    </w:p>
    <w:p>
      <w:pPr>
        <w:ind w:left="568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Hueppelsheuser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Mark Hueppelsheuser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w:t>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2024-12-19T16:31:58Z</dcterms:created>
  <dcterms:modified xsi:type="dcterms:W3CDTF">2024-12-19T16:31:58Z</dcterms:modified>
</cp:coreProperties>
</file>